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b w:val="0"/>
          <w:sz w:val="24"/>
          <w:szCs w:val="22"/>
          <w:lang w:eastAsia="en-US"/>
        </w:rPr>
        <w:alias w:val="TechnicalBlock"/>
        <w:tag w:val="LCK:TechnicalBlock"/>
        <w:id w:val="218166387"/>
        <w:lock w:val="sdtContentLocked"/>
      </w:sdtPr>
      <w:sdtEndPr/>
      <w:sdtContent>
        <w:tbl>
          <w:tblPr>
            <w:tblW w:w="11344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"/>
            <w:gridCol w:w="970"/>
            <w:gridCol w:w="2862"/>
            <w:gridCol w:w="1696"/>
            <w:gridCol w:w="147"/>
            <w:gridCol w:w="4819"/>
          </w:tblGrid>
          <w:tr w:rsidR="003558E4" w:rsidRPr="005F5A6B" w14:paraId="02CCC7A9" w14:textId="77777777" w:rsidTr="00524601">
            <w:trPr>
              <w:cantSplit/>
              <w:trHeight w:val="510"/>
              <w:jc w:val="center"/>
            </w:trPr>
            <w:tc>
              <w:tcPr>
                <w:tcW w:w="11344" w:type="dxa"/>
                <w:gridSpan w:val="6"/>
                <w:vAlign w:val="bottom"/>
              </w:tcPr>
              <w:p w14:paraId="0CE3309E" w14:textId="77777777" w:rsidR="003558E4" w:rsidRPr="005F5A6B" w:rsidRDefault="003558E4" w:rsidP="00524601">
                <w:pPr>
                  <w:pStyle w:val="TBNormalTechnicalBlock"/>
                  <w:jc w:val="right"/>
                  <w:rPr>
                    <w:b w:val="0"/>
                    <w:bCs/>
                  </w:rPr>
                </w:pPr>
              </w:p>
            </w:tc>
          </w:tr>
          <w:tr w:rsidR="003558E4" w:rsidRPr="006720F9" w14:paraId="7A51DE06" w14:textId="77777777" w:rsidTr="00524601">
            <w:trPr>
              <w:cantSplit/>
              <w:trHeight w:val="567"/>
              <w:jc w:val="center"/>
            </w:trPr>
            <w:tc>
              <w:tcPr>
                <w:tcW w:w="1820" w:type="dxa"/>
                <w:gridSpan w:val="2"/>
                <w:vAlign w:val="bottom"/>
              </w:tcPr>
              <w:p w14:paraId="051462F5" w14:textId="77777777" w:rsidR="003558E4" w:rsidRPr="006C5D93" w:rsidRDefault="003558E4" w:rsidP="00524601">
                <w:pPr>
                  <w:pStyle w:val="TBEntInstit"/>
                </w:pPr>
                <w:r w:rsidRPr="006C5D93">
                  <w:rPr>
                    <w:noProof/>
                  </w:rPr>
                  <w:drawing>
                    <wp:inline distT="0" distB="0" distL="0" distR="0" wp14:anchorId="5929B80E" wp14:editId="3086E9A6">
                      <wp:extent cx="626400" cy="522000"/>
                      <wp:effectExtent l="0" t="0" r="254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" cy="52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524" w:type="dxa"/>
                <w:gridSpan w:val="4"/>
                <w:tcMar>
                  <w:left w:w="85" w:type="dxa"/>
                </w:tcMar>
                <w:vAlign w:val="bottom"/>
              </w:tcPr>
              <w:p w14:paraId="7A250C32" w14:textId="77777777" w:rsidR="003558E4" w:rsidRPr="008414C3" w:rsidRDefault="003B3911" w:rsidP="00524601">
                <w:pPr>
                  <w:pStyle w:val="TBInstitution"/>
                </w:pPr>
                <w:r>
                  <w:t>Council of the</w:t>
                </w:r>
                <w:r>
                  <w:br/>
                  <w:t>European Union</w:t>
                </w:r>
              </w:p>
            </w:tc>
          </w:tr>
          <w:tr w:rsidR="003558E4" w:rsidRPr="006720F9" w14:paraId="22C74263" w14:textId="77777777" w:rsidTr="00524601">
            <w:trPr>
              <w:gridBefore w:val="2"/>
              <w:wBefore w:w="1820" w:type="dxa"/>
              <w:cantSplit/>
              <w:trHeight w:val="1191"/>
              <w:jc w:val="center"/>
            </w:trPr>
            <w:tc>
              <w:tcPr>
                <w:tcW w:w="4558" w:type="dxa"/>
                <w:gridSpan w:val="2"/>
                <w:tcMar>
                  <w:top w:w="28" w:type="dxa"/>
                  <w:left w:w="85" w:type="dxa"/>
                </w:tcMar>
              </w:tcPr>
              <w:p w14:paraId="31BF979F" w14:textId="77777777" w:rsidR="003558E4" w:rsidRPr="00327887" w:rsidRDefault="003558E4" w:rsidP="00524601">
                <w:pPr>
                  <w:pStyle w:val="TBInstitutionSubwordmark"/>
                </w:pPr>
              </w:p>
            </w:tc>
            <w:tc>
              <w:tcPr>
                <w:tcW w:w="147" w:type="dxa"/>
                <w:vAlign w:val="bottom"/>
              </w:tcPr>
              <w:p w14:paraId="1E2889F4" w14:textId="77777777" w:rsidR="003558E4" w:rsidRPr="00093255" w:rsidRDefault="003558E4" w:rsidP="00524601">
                <w:pPr>
                  <w:pStyle w:val="TBNormalTechnicalBlock"/>
                  <w:jc w:val="right"/>
                  <w:rPr>
                    <w:b w:val="0"/>
                    <w:bCs/>
                  </w:rPr>
                </w:pPr>
              </w:p>
            </w:tc>
            <w:tc>
              <w:tcPr>
                <w:tcW w:w="4819" w:type="dxa"/>
                <w:vMerge w:val="restart"/>
                <w:tcMar>
                  <w:top w:w="0" w:type="dxa"/>
                </w:tcMar>
              </w:tcPr>
              <w:p w14:paraId="14410B4B" w14:textId="77777777" w:rsidR="003558E4" w:rsidRPr="0012121B" w:rsidRDefault="003B3911" w:rsidP="00524601">
                <w:pPr>
                  <w:pStyle w:val="TBNormalTechnicalBlock"/>
                </w:pPr>
                <w:r>
                  <w:t>Brussels, 18 July 2025</w:t>
                </w:r>
              </w:p>
              <w:p w14:paraId="1E5AF1D2" w14:textId="77777777" w:rsidR="003558E4" w:rsidRPr="00871A20" w:rsidRDefault="003558E4" w:rsidP="00524601">
                <w:pPr>
                  <w:pStyle w:val="TBNormalTechnicalBlock"/>
                  <w:rPr>
                    <w:bCs/>
                  </w:rPr>
                </w:pPr>
                <w:r w:rsidRPr="00E60683">
                  <w:rPr>
                    <w:bCs/>
                  </w:rPr>
                  <w:t xml:space="preserve">(OR. </w:t>
                </w:r>
                <w:r>
                  <w:rPr>
                    <w:bCs/>
                  </w:rPr>
                  <w:t>en</w:t>
                </w:r>
                <w:r w:rsidRPr="00871A20">
                  <w:rPr>
                    <w:bCs/>
                  </w:rPr>
                  <w:t>)</w:t>
                </w:r>
              </w:p>
              <w:p w14:paraId="21FBDA43" w14:textId="77777777" w:rsidR="003558E4" w:rsidRPr="00871A20" w:rsidRDefault="003558E4" w:rsidP="00524601">
                <w:pPr>
                  <w:pStyle w:val="TBNormalTechnicalBlock"/>
                  <w:jc w:val="right"/>
                </w:pPr>
              </w:p>
              <w:p w14:paraId="55F0EF11" w14:textId="77777777" w:rsidR="003558E4" w:rsidRPr="00871A20" w:rsidRDefault="003558E4" w:rsidP="00524601">
                <w:pPr>
                  <w:pStyle w:val="TBNormalTechnicalBlock"/>
                  <w:jc w:val="right"/>
                </w:pPr>
              </w:p>
              <w:p w14:paraId="171037E5" w14:textId="77777777" w:rsidR="003558E4" w:rsidRPr="00F65A71" w:rsidRDefault="003B3911" w:rsidP="00524601">
                <w:pPr>
                  <w:pStyle w:val="TBNormalTechnicalBlock"/>
                  <w:rPr>
                    <w:bCs/>
                    <w:lang w:val="en-US"/>
                  </w:rPr>
                </w:pPr>
                <w:r>
                  <w:rPr>
                    <w:bCs/>
                    <w:lang w:val="en-US"/>
                  </w:rPr>
                  <w:t>11823</w:t>
                </w:r>
                <w:r w:rsidR="003558E4" w:rsidRPr="00F65A71">
                  <w:rPr>
                    <w:bCs/>
                    <w:lang w:val="en-US"/>
                  </w:rPr>
                  <w:t>/</w:t>
                </w:r>
                <w:r>
                  <w:rPr>
                    <w:bCs/>
                    <w:lang w:val="en-US"/>
                  </w:rPr>
                  <w:t>25</w:t>
                </w:r>
              </w:p>
              <w:p w14:paraId="643D0210" w14:textId="77777777" w:rsidR="003558E4" w:rsidRPr="00F65A71" w:rsidRDefault="003B3911" w:rsidP="00524601">
                <w:pPr>
                  <w:pStyle w:val="TBNormalTechnicalBlock"/>
                  <w:rPr>
                    <w:lang w:val="en-US"/>
                  </w:rPr>
                </w:pPr>
                <w:r>
                  <w:rPr>
                    <w:lang w:val="en-US"/>
                  </w:rPr>
                  <w:t>ADD 1</w:t>
                </w:r>
              </w:p>
              <w:p w14:paraId="138510A8" w14:textId="77777777" w:rsidR="003558E4" w:rsidRPr="00F65A71" w:rsidRDefault="003558E4" w:rsidP="00524601">
                <w:pPr>
                  <w:pStyle w:val="TBNormalTechnicalBlock"/>
                  <w:jc w:val="right"/>
                  <w:rPr>
                    <w:lang w:val="en-US"/>
                  </w:rPr>
                </w:pPr>
              </w:p>
              <w:p w14:paraId="72DCC5A2" w14:textId="77777777" w:rsidR="003558E4" w:rsidRDefault="003558E4" w:rsidP="00524601">
                <w:pPr>
                  <w:pStyle w:val="TBNormalTechnicalBlock"/>
                </w:pPr>
              </w:p>
              <w:p w14:paraId="1A96D86E" w14:textId="77777777" w:rsidR="003558E4" w:rsidRDefault="003558E4" w:rsidP="00524601">
                <w:pPr>
                  <w:pStyle w:val="TBNormalTechnicalBlock"/>
                  <w:jc w:val="right"/>
                </w:pPr>
              </w:p>
              <w:p w14:paraId="27F9C21D" w14:textId="77777777" w:rsidR="00E2031A" w:rsidRDefault="003B3911">
                <w:pPr>
                  <w:pStyle w:val="TBEntRefer"/>
                  <w:tabs>
                    <w:tab w:val="left" w:pos="2265"/>
                  </w:tabs>
                </w:pPr>
                <w:r>
                  <w:t>SOC 538</w:t>
                </w:r>
              </w:p>
              <w:p w14:paraId="33989752" w14:textId="77777777" w:rsidR="00E2031A" w:rsidRDefault="003B3911">
                <w:pPr>
                  <w:pStyle w:val="TBEntRefer"/>
                  <w:tabs>
                    <w:tab w:val="left" w:pos="2265"/>
                  </w:tabs>
                </w:pPr>
                <w:r>
                  <w:t>EMPL 365</w:t>
                </w:r>
              </w:p>
              <w:p w14:paraId="7FF1F4E2" w14:textId="77777777" w:rsidR="00E2031A" w:rsidRDefault="003B3911">
                <w:pPr>
                  <w:pStyle w:val="TBEntRefer"/>
                  <w:tabs>
                    <w:tab w:val="left" w:pos="2265"/>
                  </w:tabs>
                </w:pPr>
                <w:r>
                  <w:t>SAN 483</w:t>
                </w:r>
              </w:p>
              <w:p w14:paraId="004C88FA" w14:textId="77777777" w:rsidR="00E2031A" w:rsidRDefault="003B3911">
                <w:pPr>
                  <w:pStyle w:val="TBEntRefer"/>
                  <w:tabs>
                    <w:tab w:val="left" w:pos="2265"/>
                  </w:tabs>
                </w:pPr>
                <w:r>
                  <w:t>CODEC 1058</w:t>
                </w:r>
              </w:p>
              <w:p w14:paraId="132F9080" w14:textId="77777777" w:rsidR="00E2031A" w:rsidRDefault="003B3911">
                <w:pPr>
                  <w:pStyle w:val="TBEntRefer"/>
                  <w:tabs>
                    <w:tab w:val="left" w:pos="2265"/>
                  </w:tabs>
                </w:pPr>
                <w:r>
                  <w:t>IA 95</w:t>
                </w:r>
              </w:p>
            </w:tc>
          </w:tr>
          <w:tr w:rsidR="003558E4" w:rsidRPr="006720F9" w14:paraId="11AC7318" w14:textId="77777777" w:rsidTr="00524601">
            <w:trPr>
              <w:gridBefore w:val="1"/>
              <w:wBefore w:w="850" w:type="dxa"/>
              <w:cantSplit/>
              <w:trHeight w:val="837"/>
              <w:jc w:val="center"/>
            </w:trPr>
            <w:tc>
              <w:tcPr>
                <w:tcW w:w="3832" w:type="dxa"/>
                <w:gridSpan w:val="2"/>
                <w:vAlign w:val="center"/>
              </w:tcPr>
              <w:p w14:paraId="514AA789" w14:textId="77777777" w:rsidR="00E2031A" w:rsidRDefault="003B3911">
                <w:pPr>
                  <w:pStyle w:val="TBEntReferNew"/>
                  <w:pBdr>
                    <w:top w:val="double" w:sz="6" w:space="2" w:color="auto"/>
                    <w:bottom w:val="double" w:sz="6" w:space="2" w:color="auto"/>
                  </w:pBdr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Interinstitutional File:</w:t>
                </w:r>
              </w:p>
              <w:p w14:paraId="380A2170" w14:textId="77777777" w:rsidR="00E2031A" w:rsidRDefault="003B3911">
                <w:pPr>
                  <w:pStyle w:val="TBEntReferNew"/>
                  <w:pBdr>
                    <w:top w:val="double" w:sz="6" w:space="2" w:color="auto"/>
                    <w:bottom w:val="double" w:sz="6" w:space="2" w:color="auto"/>
                  </w:pBdr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2025/0232 (COD)</w:t>
                </w:r>
              </w:p>
            </w:tc>
            <w:tc>
              <w:tcPr>
                <w:tcW w:w="1843" w:type="dxa"/>
                <w:gridSpan w:val="2"/>
                <w:vMerge w:val="restart"/>
                <w:vAlign w:val="bottom"/>
              </w:tcPr>
              <w:p w14:paraId="77B1AA63" w14:textId="77777777" w:rsidR="003558E4" w:rsidRPr="008F6E25" w:rsidRDefault="003558E4" w:rsidP="00524601">
                <w:pPr>
                  <w:pStyle w:val="TBNormalTechnicalBlock"/>
                  <w:jc w:val="right"/>
                  <w:rPr>
                    <w:b w:val="0"/>
                    <w:bCs/>
                  </w:rPr>
                </w:pPr>
              </w:p>
            </w:tc>
            <w:tc>
              <w:tcPr>
                <w:tcW w:w="4819" w:type="dxa"/>
                <w:vMerge/>
              </w:tcPr>
              <w:p w14:paraId="75E29CF6" w14:textId="77777777" w:rsidR="003558E4" w:rsidRPr="00F26BF3" w:rsidRDefault="003558E4" w:rsidP="00524601">
                <w:pPr>
                  <w:pStyle w:val="TBEntRefer"/>
                  <w:rPr>
                    <w:szCs w:val="23"/>
                  </w:rPr>
                </w:pPr>
              </w:p>
            </w:tc>
          </w:tr>
          <w:tr w:rsidR="003558E4" w:rsidRPr="007D65B2" w14:paraId="639A4A65" w14:textId="77777777" w:rsidTr="00524601">
            <w:trPr>
              <w:gridBefore w:val="1"/>
              <w:wBefore w:w="850" w:type="dxa"/>
              <w:cantSplit/>
              <w:trHeight w:val="998"/>
              <w:jc w:val="center"/>
            </w:trPr>
            <w:tc>
              <w:tcPr>
                <w:tcW w:w="3832" w:type="dxa"/>
                <w:gridSpan w:val="2"/>
                <w:vAlign w:val="center"/>
              </w:tcPr>
              <w:p w14:paraId="1FC81E96" w14:textId="77777777" w:rsidR="003558E4" w:rsidRPr="007D65B2" w:rsidRDefault="003558E4" w:rsidP="00524601">
                <w:pPr>
                  <w:pStyle w:val="TBSousEmbargo"/>
                </w:pPr>
              </w:p>
            </w:tc>
            <w:tc>
              <w:tcPr>
                <w:tcW w:w="1843" w:type="dxa"/>
                <w:gridSpan w:val="2"/>
                <w:vMerge/>
                <w:vAlign w:val="center"/>
              </w:tcPr>
              <w:p w14:paraId="5B4A232D" w14:textId="77777777" w:rsidR="003558E4" w:rsidRPr="008F6E25" w:rsidRDefault="003558E4" w:rsidP="00524601">
                <w:pPr>
                  <w:pStyle w:val="TBNormalTechnicalBlock"/>
                  <w:rPr>
                    <w:b w:val="0"/>
                    <w:bCs/>
                  </w:rPr>
                </w:pPr>
              </w:p>
            </w:tc>
            <w:tc>
              <w:tcPr>
                <w:tcW w:w="4819" w:type="dxa"/>
                <w:vMerge/>
              </w:tcPr>
              <w:p w14:paraId="46346883" w14:textId="77777777" w:rsidR="003558E4" w:rsidRPr="007D65B2" w:rsidRDefault="003558E4" w:rsidP="00524601">
                <w:pPr>
                  <w:pStyle w:val="TBEntRefer"/>
                  <w:rPr>
                    <w:szCs w:val="23"/>
                  </w:rPr>
                </w:pPr>
              </w:p>
            </w:tc>
          </w:tr>
        </w:tbl>
        <w:p w14:paraId="3124F89B" w14:textId="77777777" w:rsidR="003558E4" w:rsidRPr="007D65B2" w:rsidRDefault="003558E4" w:rsidP="003558E4">
          <w:pPr>
            <w:pStyle w:val="TBEntRefer"/>
            <w:rPr>
              <w:sz w:val="2"/>
              <w:szCs w:val="2"/>
            </w:rPr>
          </w:pPr>
        </w:p>
        <w:tbl>
          <w:tblPr>
            <w:tblW w:w="9640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68"/>
            <w:gridCol w:w="7346"/>
            <w:gridCol w:w="26"/>
          </w:tblGrid>
          <w:tr w:rsidR="002D3C08" w:rsidRPr="008C093D" w14:paraId="3B419F9B" w14:textId="77777777" w:rsidTr="00072A32">
            <w:trPr>
              <w:gridAfter w:val="1"/>
              <w:wAfter w:w="26" w:type="dxa"/>
              <w:jc w:val="center"/>
            </w:trPr>
            <w:tc>
              <w:tcPr>
                <w:tcW w:w="9640" w:type="dxa"/>
                <w:gridSpan w:val="2"/>
              </w:tcPr>
              <w:p w14:paraId="72622C12" w14:textId="77777777" w:rsidR="002D3C08" w:rsidRPr="008C093D" w:rsidRDefault="003B3911" w:rsidP="00072A32">
                <w:pPr>
                  <w:pStyle w:val="TBHeadingTable"/>
                </w:pPr>
                <w:r>
                  <w:t>COVER NOTE</w:t>
                </w:r>
              </w:p>
            </w:tc>
          </w:tr>
          <w:tr w:rsidR="002D3C08" w:rsidRPr="00F13D39" w14:paraId="11A3363F" w14:textId="77777777" w:rsidTr="00072A32">
            <w:trPr>
              <w:jc w:val="center"/>
            </w:trPr>
            <w:tc>
              <w:tcPr>
                <w:tcW w:w="2274" w:type="dxa"/>
                <w:tcBorders>
                  <w:top w:val="single" w:sz="4" w:space="0" w:color="auto"/>
                </w:tcBorders>
              </w:tcPr>
              <w:p w14:paraId="5F94DAE4" w14:textId="77777777" w:rsidR="002D3C08" w:rsidRPr="00F13D39" w:rsidRDefault="003B3911" w:rsidP="00072A32">
                <w:pPr>
                  <w:pStyle w:val="TBSubjectTable"/>
                </w:pPr>
                <w:r>
                  <w:t>From:</w:t>
                </w:r>
              </w:p>
            </w:tc>
            <w:tc>
              <w:tcPr>
                <w:tcW w:w="7392" w:type="dxa"/>
                <w:gridSpan w:val="2"/>
                <w:tcBorders>
                  <w:top w:val="single" w:sz="4" w:space="0" w:color="auto"/>
                </w:tcBorders>
              </w:tcPr>
              <w:p w14:paraId="6C9E5802" w14:textId="77777777" w:rsidR="002D3C08" w:rsidRPr="00F13D39" w:rsidRDefault="003B3911" w:rsidP="00072A32">
                <w:pPr>
                  <w:pStyle w:val="TBSubjectTable"/>
                </w:pPr>
                <w:r>
                  <w:t>Secretary-General of the European Commission, signed by Ms Martine DEPREZ, Director</w:t>
                </w:r>
              </w:p>
            </w:tc>
          </w:tr>
          <w:tr w:rsidR="002D3C08" w:rsidRPr="00F13D39" w14:paraId="1C3A8666" w14:textId="77777777" w:rsidTr="00072A32">
            <w:tblPrEx>
              <w:tblBorders>
                <w:top w:val="single" w:sz="4" w:space="0" w:color="auto"/>
              </w:tblBorders>
            </w:tblPrEx>
            <w:trPr>
              <w:jc w:val="center"/>
            </w:trPr>
            <w:tc>
              <w:tcPr>
                <w:tcW w:w="2274" w:type="dxa"/>
                <w:tcBorders>
                  <w:top w:val="nil"/>
                  <w:bottom w:val="nil"/>
                </w:tcBorders>
              </w:tcPr>
              <w:p w14:paraId="3D64C98E" w14:textId="77777777" w:rsidR="002D3C08" w:rsidRPr="00F13D39" w:rsidRDefault="003B3911" w:rsidP="00072A32">
                <w:pPr>
                  <w:pStyle w:val="TBSubjectTable"/>
                </w:pPr>
                <w:r>
                  <w:t>date of receipt:</w:t>
                </w:r>
              </w:p>
            </w:tc>
            <w:tc>
              <w:tcPr>
                <w:tcW w:w="7392" w:type="dxa"/>
                <w:gridSpan w:val="2"/>
                <w:tcBorders>
                  <w:top w:val="nil"/>
                  <w:bottom w:val="nil"/>
                </w:tcBorders>
              </w:tcPr>
              <w:p w14:paraId="5E952F0A" w14:textId="77777777" w:rsidR="002D3C08" w:rsidRPr="00F13D39" w:rsidRDefault="003B3911" w:rsidP="00072A32">
                <w:pPr>
                  <w:pStyle w:val="TBSubjectTable"/>
                </w:pPr>
                <w:r>
                  <w:t>18 July 2025</w:t>
                </w:r>
              </w:p>
            </w:tc>
          </w:tr>
          <w:tr w:rsidR="002D3C08" w:rsidRPr="00F13D39" w14:paraId="10EF4820" w14:textId="77777777" w:rsidTr="00072A32">
            <w:trPr>
              <w:jc w:val="center"/>
            </w:trPr>
            <w:tc>
              <w:tcPr>
                <w:tcW w:w="2274" w:type="dxa"/>
                <w:tcBorders>
                  <w:bottom w:val="single" w:sz="4" w:space="0" w:color="auto"/>
                </w:tcBorders>
              </w:tcPr>
              <w:p w14:paraId="0C42C2E3" w14:textId="77777777" w:rsidR="002D3C08" w:rsidRPr="00F13D39" w:rsidRDefault="003B3911" w:rsidP="00072A32">
                <w:pPr>
                  <w:pStyle w:val="TBSubjectTable"/>
                </w:pPr>
                <w:r>
                  <w:t>To:</w:t>
                </w:r>
              </w:p>
            </w:tc>
            <w:tc>
              <w:tcPr>
                <w:tcW w:w="7392" w:type="dxa"/>
                <w:gridSpan w:val="2"/>
                <w:tcBorders>
                  <w:bottom w:val="single" w:sz="4" w:space="0" w:color="auto"/>
                </w:tcBorders>
              </w:tcPr>
              <w:p w14:paraId="783B2B0B" w14:textId="77777777" w:rsidR="002D3C08" w:rsidRPr="00F13D39" w:rsidRDefault="003B3911" w:rsidP="00072A32">
                <w:pPr>
                  <w:pStyle w:val="TBSubjectTable"/>
                </w:pPr>
                <w:r>
                  <w:t>Ms Thérèse BLANCHET, Secretary-General of the Council of the European Union</w:t>
                </w:r>
              </w:p>
            </w:tc>
          </w:tr>
          <w:tr w:rsidR="002D3C08" w:rsidRPr="00BB649A" w14:paraId="631F7949" w14:textId="77777777" w:rsidTr="00072A32">
            <w:tblPrEx>
              <w:tblBorders>
                <w:top w:val="single" w:sz="4" w:space="0" w:color="auto"/>
              </w:tblBorders>
            </w:tblPrEx>
            <w:trPr>
              <w:jc w:val="center"/>
            </w:trPr>
            <w:tc>
              <w:tcPr>
                <w:tcW w:w="2274" w:type="dxa"/>
                <w:tcBorders>
                  <w:top w:val="nil"/>
                  <w:bottom w:val="single" w:sz="4" w:space="0" w:color="auto"/>
                </w:tcBorders>
              </w:tcPr>
              <w:p w14:paraId="46AEA24E" w14:textId="77777777" w:rsidR="002D3C08" w:rsidRPr="00F13D39" w:rsidRDefault="003B3911" w:rsidP="00072A32">
                <w:pPr>
                  <w:pStyle w:val="TBSubjectTable"/>
                </w:pPr>
                <w:r>
                  <w:t>No. Cion doc.:</w:t>
                </w:r>
              </w:p>
            </w:tc>
            <w:tc>
              <w:tcPr>
                <w:tcW w:w="7392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34956A65" w14:textId="77777777" w:rsidR="002D3C08" w:rsidRPr="002D3C08" w:rsidRDefault="003B3911" w:rsidP="00072A32">
                <w:pPr>
                  <w:pStyle w:val="TBSubjectTable"/>
                  <w:rPr>
                    <w:lang w:val="de-DE"/>
                  </w:rPr>
                </w:pPr>
                <w:r>
                  <w:rPr>
                    <w:lang w:val="de-DE"/>
                  </w:rPr>
                  <w:t>COM(2025) 418 annex</w:t>
                </w:r>
              </w:p>
            </w:tc>
          </w:tr>
          <w:tr w:rsidR="002D3C08" w:rsidRPr="00F13D39" w14:paraId="23DF0611" w14:textId="77777777" w:rsidTr="00072A32">
            <w:trPr>
              <w:jc w:val="center"/>
            </w:trPr>
            <w:tc>
              <w:tcPr>
                <w:tcW w:w="227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97CC221" w14:textId="77777777" w:rsidR="002D3C08" w:rsidRPr="00F13D39" w:rsidRDefault="003B3911" w:rsidP="00072A32">
                <w:pPr>
                  <w:pStyle w:val="TBSubjectTable"/>
                </w:pPr>
                <w:r>
                  <w:t>Subject:</w:t>
                </w:r>
              </w:p>
            </w:tc>
            <w:tc>
              <w:tcPr>
                <w:tcW w:w="739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230594F" w14:textId="77777777" w:rsidR="002D3C08" w:rsidRPr="00F13D39" w:rsidRDefault="003B3911" w:rsidP="00072A32">
                <w:pPr>
                  <w:pStyle w:val="TBSubjectText"/>
                </w:pPr>
                <w:bookmarkStart w:id="0" w:name="SplitParasInCell_1"/>
                <w:bookmarkEnd w:id="0"/>
                <w:r>
                  <w:t>ANNEX to the Proposal for a Directive of the European Parliament and of the Council amending Directive 2004/37/EC as regards the addition of substances and setting limit values in its Annexes I, III and IIIa</w:t>
                </w:r>
              </w:p>
            </w:tc>
          </w:tr>
        </w:tbl>
        <w:p w14:paraId="3DF86FE6" w14:textId="77777777" w:rsidR="002D3C08" w:rsidRPr="002D3C08" w:rsidRDefault="003B3911" w:rsidP="002D3C08">
          <w:pPr>
            <w:spacing w:before="20" w:after="240" w:line="20" w:lineRule="exact"/>
            <w:rPr>
              <w:sz w:val="2"/>
              <w:szCs w:val="2"/>
              <w:lang w:val="fr-FR"/>
            </w:rPr>
          </w:pPr>
        </w:p>
      </w:sdtContent>
    </w:sdt>
    <w:p w14:paraId="7EE9AD75" w14:textId="77777777" w:rsidR="00E2031A" w:rsidRDefault="003B3911">
      <w:pPr>
        <w:pStyle w:val="EntText"/>
        <w:spacing w:before="480"/>
      </w:pPr>
      <w:r>
        <w:t xml:space="preserve">Delegations will find attached document </w:t>
      </w:r>
      <w:r>
        <w:fldChar w:fldCharType="begin"/>
      </w:r>
      <w:r>
        <w:instrText xml:space="preserve"> QUOTE "</w:instrText>
      </w:r>
      <w:r>
        <w:fldChar w:fldCharType="begin">
          <w:fldData xml:space="preserve">QwBvAG0AbQBEAG8AYwBzAHwAUwBMAA==
</w:fldData>
        </w:fldChar>
      </w:r>
      <w:r>
        <w:instrText xml:space="preserve"> ADDIN "DocuWrite metadata link" </w:instrText>
      </w:r>
      <w:r>
        <w:fldChar w:fldCharType="end"/>
      </w:r>
      <w:r>
        <w:instrText xml:space="preserve">COM(2025) 418 annex" </w:instrText>
      </w:r>
      <w:r>
        <w:fldChar w:fldCharType="separate"/>
      </w:r>
      <w:proofErr w:type="gramStart"/>
      <w:r>
        <w:t>COM(</w:t>
      </w:r>
      <w:proofErr w:type="gramEnd"/>
      <w:r>
        <w:t>2025) 418 annex</w:t>
      </w:r>
      <w:r>
        <w:fldChar w:fldCharType="end"/>
      </w:r>
      <w:r>
        <w:t>.</w:t>
      </w:r>
    </w:p>
    <w:p w14:paraId="65B058B6" w14:textId="77777777" w:rsidR="00E2031A" w:rsidRDefault="00E2031A">
      <w:pPr>
        <w:pStyle w:val="Lignefinal"/>
      </w:pPr>
    </w:p>
    <w:p w14:paraId="39483E05" w14:textId="77777777" w:rsidR="00E2031A" w:rsidRDefault="003B3911">
      <w:pPr>
        <w:pStyle w:val="pj"/>
        <w:spacing w:before="120"/>
        <w:sectPr w:rsidR="00E2031A" w:rsidSect="007F499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  <w:r>
        <w:t xml:space="preserve">Encl.: </w:t>
      </w:r>
      <w:r>
        <w:fldChar w:fldCharType="begin"/>
      </w:r>
      <w:r>
        <w:instrText xml:space="preserve"> QUOTE "</w:instrText>
      </w:r>
      <w:r>
        <w:fldChar w:fldCharType="begin">
          <w:fldData xml:space="preserve">QwBvAG0AbQBEAG8AYwBzAHwAUwBMAA==
</w:fldData>
        </w:fldChar>
      </w:r>
      <w:r>
        <w:instrText xml:space="preserve"> ADDIN "DocuWrite metadata link" </w:instrText>
      </w:r>
      <w:r>
        <w:fldChar w:fldCharType="end"/>
      </w:r>
      <w:r>
        <w:instrText xml:space="preserve">COM(2025) 418 annex" </w:instrText>
      </w:r>
      <w:r>
        <w:fldChar w:fldCharType="separate"/>
      </w:r>
      <w:proofErr w:type="gramStart"/>
      <w:r>
        <w:t>COM(</w:t>
      </w:r>
      <w:proofErr w:type="gramEnd"/>
      <w:r>
        <w:t>2025) 418 annex</w:t>
      </w:r>
      <w:r>
        <w:fldChar w:fldCharType="end"/>
      </w:r>
    </w:p>
    <w:p w14:paraId="238021FB" w14:textId="77777777" w:rsidR="00A76D84" w:rsidRDefault="003B3911" w:rsidP="00183352">
      <w:pPr>
        <w:pStyle w:val="Pagedecouverture"/>
        <w:rPr>
          <w:noProof/>
        </w:rPr>
      </w:pPr>
      <w:r>
        <w:rPr>
          <w:noProof/>
        </w:rPr>
        <w:lastRenderedPageBreak/>
        <w:pict w14:anchorId="42BE42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02AAA7D-8553-442B-8F67-8E96054DAA92" style="width:455.5pt;height:470.5pt">
            <v:imagedata r:id="rId17" o:title=""/>
          </v:shape>
        </w:pict>
      </w:r>
    </w:p>
    <w:p w14:paraId="05A45DB3" w14:textId="77777777" w:rsidR="00A76D84" w:rsidRDefault="003B3911" w:rsidP="00A76D84">
      <w:pPr>
        <w:rPr>
          <w:noProof/>
        </w:rPr>
        <w:sectPr w:rsidR="00A76D84" w:rsidSect="0018335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0DAB4265" w14:textId="77777777" w:rsidR="00A76D84" w:rsidRDefault="003B3911" w:rsidP="00A76D84">
      <w:pPr>
        <w:pStyle w:val="Annexetitre"/>
        <w:rPr>
          <w:noProof/>
        </w:rPr>
      </w:pPr>
      <w:r w:rsidRPr="00A76D84">
        <w:rPr>
          <w:noProof/>
        </w:rPr>
        <w:lastRenderedPageBreak/>
        <w:t xml:space="preserve">ANNEX </w:t>
      </w:r>
    </w:p>
    <w:p w14:paraId="7E1ED02A" w14:textId="77777777" w:rsidR="00A76D84" w:rsidRDefault="003B3911" w:rsidP="00A76D84">
      <w:pPr>
        <w:rPr>
          <w:noProof/>
        </w:rPr>
      </w:pPr>
    </w:p>
    <w:p w14:paraId="7F24D34A" w14:textId="77777777" w:rsidR="00A76D84" w:rsidRPr="00F86091" w:rsidRDefault="003B3911" w:rsidP="00A76D84">
      <w:pPr>
        <w:shd w:val="clear" w:color="auto" w:fill="FFFFFF" w:themeFill="background1"/>
        <w:spacing w:before="0" w:after="0"/>
        <w:jc w:val="center"/>
        <w:rPr>
          <w:noProof/>
        </w:rPr>
      </w:pPr>
      <w:r w:rsidRPr="00F86091">
        <w:rPr>
          <w:rFonts w:eastAsia="Times New Roman"/>
          <w:b/>
          <w:bCs/>
          <w:noProof/>
          <w:color w:val="000000" w:themeColor="text1"/>
          <w:szCs w:val="24"/>
        </w:rPr>
        <w:t>ANNEX</w:t>
      </w:r>
    </w:p>
    <w:p w14:paraId="42CABDC9" w14:textId="77777777" w:rsidR="00A76D84" w:rsidRPr="00F86091" w:rsidRDefault="003B3911" w:rsidP="00A76D84">
      <w:pPr>
        <w:shd w:val="clear" w:color="auto" w:fill="FFFFFF" w:themeFill="background1"/>
        <w:spacing w:before="0" w:after="0"/>
        <w:jc w:val="center"/>
        <w:rPr>
          <w:noProof/>
        </w:rPr>
      </w:pPr>
    </w:p>
    <w:p w14:paraId="76DFA441" w14:textId="77777777" w:rsidR="00A76D84" w:rsidRPr="007322A5" w:rsidRDefault="003B3911" w:rsidP="00A76D84">
      <w:pPr>
        <w:shd w:val="clear" w:color="auto" w:fill="FFFFFF" w:themeFill="background1"/>
        <w:spacing w:before="0" w:after="0" w:line="360" w:lineRule="auto"/>
        <w:rPr>
          <w:noProof/>
        </w:rPr>
      </w:pPr>
      <w:r w:rsidRPr="003D6EE6">
        <w:rPr>
          <w:rFonts w:eastAsia="Times New Roman"/>
          <w:noProof/>
          <w:color w:val="000000" w:themeColor="text1"/>
          <w:szCs w:val="24"/>
        </w:rPr>
        <w:t>Annexes I, III and IIIa to Directive 2004/37/EC are amended as follows:</w:t>
      </w:r>
    </w:p>
    <w:p w14:paraId="7CAD4274" w14:textId="77777777" w:rsidR="00A76D84" w:rsidRPr="007322A5" w:rsidRDefault="003B3911" w:rsidP="00A76D84">
      <w:pPr>
        <w:spacing w:before="40" w:after="40" w:line="360" w:lineRule="auto"/>
        <w:ind w:left="851" w:hanging="851"/>
        <w:rPr>
          <w:rFonts w:eastAsia="Times New Roman"/>
          <w:noProof/>
          <w:szCs w:val="24"/>
        </w:rPr>
      </w:pPr>
      <w:r w:rsidRPr="00F86091">
        <w:rPr>
          <w:rFonts w:eastAsia="Times New Roman"/>
          <w:noProof/>
          <w:szCs w:val="24"/>
        </w:rPr>
        <w:t>(</w:t>
      </w:r>
      <w:r>
        <w:rPr>
          <w:rFonts w:eastAsia="Times New Roman"/>
          <w:noProof/>
          <w:szCs w:val="24"/>
        </w:rPr>
        <w:t>1</w:t>
      </w:r>
      <w:r w:rsidRPr="00F86091">
        <w:rPr>
          <w:rFonts w:eastAsia="Times New Roman"/>
          <w:noProof/>
          <w:szCs w:val="24"/>
        </w:rPr>
        <w:t xml:space="preserve">) </w:t>
      </w:r>
      <w:r>
        <w:rPr>
          <w:rFonts w:eastAsia="Times New Roman"/>
          <w:noProof/>
          <w:szCs w:val="24"/>
        </w:rPr>
        <w:tab/>
      </w:r>
      <w:r w:rsidRPr="007322A5">
        <w:rPr>
          <w:rFonts w:eastAsia="Times New Roman"/>
          <w:noProof/>
          <w:szCs w:val="24"/>
        </w:rPr>
        <w:t xml:space="preserve">in Annex I, the </w:t>
      </w:r>
      <w:r w:rsidRPr="007322A5">
        <w:rPr>
          <w:rFonts w:eastAsia="Times New Roman"/>
          <w:noProof/>
          <w:szCs w:val="24"/>
        </w:rPr>
        <w:t>following point 9 is added:</w:t>
      </w:r>
    </w:p>
    <w:p w14:paraId="1DDB4B43" w14:textId="77777777" w:rsidR="00A76D84" w:rsidRPr="007322A5" w:rsidRDefault="003B3911" w:rsidP="00A76D84">
      <w:pPr>
        <w:spacing w:before="40" w:after="40" w:line="360" w:lineRule="auto"/>
        <w:ind w:left="851" w:hanging="851"/>
        <w:rPr>
          <w:rFonts w:eastAsia="Times New Roman"/>
          <w:noProof/>
          <w:szCs w:val="24"/>
        </w:rPr>
      </w:pPr>
      <w:r w:rsidRPr="007322A5">
        <w:rPr>
          <w:rFonts w:eastAsia="Times New Roman"/>
          <w:noProof/>
          <w:szCs w:val="24"/>
        </w:rPr>
        <w:t xml:space="preserve">‘9.         Work involving exposure to fumes from welding processes containing substances that </w:t>
      </w:r>
      <w:r w:rsidRPr="003D6EE6">
        <w:rPr>
          <w:rFonts w:eastAsia="Times New Roman"/>
          <w:noProof/>
          <w:szCs w:val="24"/>
        </w:rPr>
        <w:t>meet the criteria</w:t>
      </w:r>
      <w:r w:rsidRPr="007322A5">
        <w:rPr>
          <w:rFonts w:eastAsia="Times New Roman"/>
          <w:noProof/>
          <w:szCs w:val="24"/>
        </w:rPr>
        <w:t xml:space="preserve"> for a substance or mixture which </w:t>
      </w:r>
      <w:r w:rsidRPr="003D6EE6">
        <w:rPr>
          <w:rFonts w:eastAsia="Times New Roman"/>
          <w:noProof/>
          <w:szCs w:val="24"/>
        </w:rPr>
        <w:t>meets the criteria</w:t>
      </w:r>
      <w:r w:rsidRPr="007322A5">
        <w:rPr>
          <w:rFonts w:eastAsia="Times New Roman"/>
          <w:noProof/>
          <w:szCs w:val="24"/>
        </w:rPr>
        <w:t xml:space="preserve"> for classification as a category 1A or 1B carcinogen, mutagen o</w:t>
      </w:r>
      <w:r w:rsidRPr="007322A5">
        <w:rPr>
          <w:rFonts w:eastAsia="Times New Roman"/>
          <w:noProof/>
          <w:szCs w:val="24"/>
        </w:rPr>
        <w:t>r reprotoxic set out in Annex I to Regulation (EC) No 1272/2008</w:t>
      </w:r>
      <w:r>
        <w:rPr>
          <w:rStyle w:val="FootnoteReference"/>
          <w:rFonts w:eastAsia="Times New Roman"/>
          <w:noProof/>
          <w:szCs w:val="24"/>
        </w:rPr>
        <w:footnoteReference w:id="1"/>
      </w:r>
      <w:r w:rsidRPr="007322A5">
        <w:rPr>
          <w:rFonts w:eastAsia="Times New Roman"/>
          <w:noProof/>
          <w:szCs w:val="24"/>
          <w:lang w:val="en-US"/>
        </w:rPr>
        <w:t>;</w:t>
      </w:r>
    </w:p>
    <w:p w14:paraId="00E30B35" w14:textId="77777777" w:rsidR="00A76D84" w:rsidRPr="00133B2D" w:rsidRDefault="003B3911" w:rsidP="00133B2D">
      <w:pPr>
        <w:spacing w:before="40" w:after="40" w:line="360" w:lineRule="auto"/>
        <w:ind w:left="851" w:hanging="851"/>
        <w:rPr>
          <w:rFonts w:eastAsia="Times New Roman"/>
          <w:noProof/>
          <w:szCs w:val="24"/>
        </w:rPr>
      </w:pPr>
      <w:r>
        <w:rPr>
          <w:rFonts w:eastAsia="Times New Roman"/>
          <w:noProof/>
          <w:szCs w:val="24"/>
        </w:rPr>
        <w:t>(2)</w:t>
      </w:r>
      <w:r>
        <w:rPr>
          <w:rFonts w:eastAsia="Times New Roman"/>
          <w:noProof/>
          <w:szCs w:val="24"/>
        </w:rPr>
        <w:tab/>
      </w:r>
      <w:r w:rsidRPr="00F86091">
        <w:rPr>
          <w:rFonts w:eastAsia="Times New Roman"/>
          <w:noProof/>
          <w:szCs w:val="24"/>
        </w:rPr>
        <w:t>in Annex III, point A is amended as follows:</w:t>
      </w:r>
    </w:p>
    <w:p w14:paraId="213196C5" w14:textId="77777777" w:rsidR="00A76D84" w:rsidRPr="00F86091" w:rsidRDefault="003B3911" w:rsidP="00A76D84">
      <w:pPr>
        <w:spacing w:before="40" w:after="40" w:line="360" w:lineRule="auto"/>
        <w:ind w:left="851" w:hanging="851"/>
        <w:rPr>
          <w:noProof/>
        </w:rPr>
      </w:pPr>
      <w:r w:rsidRPr="00F86091">
        <w:rPr>
          <w:rFonts w:eastAsia="Times New Roman"/>
          <w:noProof/>
          <w:szCs w:val="24"/>
        </w:rPr>
        <w:t xml:space="preserve">(a)  </w:t>
      </w:r>
      <w:r>
        <w:rPr>
          <w:rFonts w:eastAsia="Times New Roman"/>
          <w:noProof/>
          <w:szCs w:val="24"/>
        </w:rPr>
        <w:tab/>
        <w:t xml:space="preserve">in the Table </w:t>
      </w:r>
      <w:r w:rsidRPr="00F86091">
        <w:rPr>
          <w:rFonts w:eastAsia="Times New Roman"/>
          <w:noProof/>
          <w:szCs w:val="24"/>
        </w:rPr>
        <w:t>the row related to polycyclic aromatic hydrocarbons mixtures</w:t>
      </w:r>
      <w:r w:rsidRPr="00A00262">
        <w:rPr>
          <w:rFonts w:eastAsia="Times New Roman"/>
          <w:noProof/>
          <w:szCs w:val="24"/>
        </w:rPr>
        <w:t xml:space="preserve">, particularly those containing </w:t>
      </w:r>
      <w:r w:rsidRPr="00A00262">
        <w:rPr>
          <w:rFonts w:eastAsia="Times New Roman"/>
          <w:noProof/>
          <w:szCs w:val="24"/>
        </w:rPr>
        <w:t>benzo[a]pyrene, which are carcinogens within the meaning of this Directive, is replaced by the following</w:t>
      </w:r>
      <w:r w:rsidRPr="00F86091">
        <w:rPr>
          <w:rFonts w:eastAsia="Times New Roman"/>
          <w:noProof/>
          <w:szCs w:val="24"/>
        </w:rPr>
        <w:t>:</w:t>
      </w:r>
    </w:p>
    <w:p w14:paraId="0671C4FC" w14:textId="77777777" w:rsidR="00A76D84" w:rsidRPr="00F86091" w:rsidRDefault="003B3911" w:rsidP="00A76D84">
      <w:pPr>
        <w:spacing w:before="40" w:after="40" w:line="360" w:lineRule="auto"/>
        <w:ind w:left="567" w:hanging="567"/>
        <w:rPr>
          <w:noProof/>
        </w:rPr>
      </w:pPr>
      <w:r w:rsidRPr="00F86091">
        <w:rPr>
          <w:rFonts w:eastAsia="Times New Roman"/>
          <w:noProof/>
          <w:szCs w:val="24"/>
        </w:rPr>
        <w:t>‘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55"/>
        <w:gridCol w:w="657"/>
        <w:gridCol w:w="631"/>
        <w:gridCol w:w="935"/>
        <w:gridCol w:w="584"/>
        <w:gridCol w:w="504"/>
        <w:gridCol w:w="625"/>
        <w:gridCol w:w="445"/>
        <w:gridCol w:w="623"/>
        <w:gridCol w:w="975"/>
        <w:gridCol w:w="1725"/>
      </w:tblGrid>
      <w:tr w:rsidR="00A76D84" w:rsidRPr="00F86091" w14:paraId="1AE5DD67" w14:textId="77777777" w:rsidTr="00AB7487">
        <w:trPr>
          <w:trHeight w:val="285"/>
        </w:trPr>
        <w:tc>
          <w:tcPr>
            <w:tcW w:w="1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559EA61D" w14:textId="77777777" w:rsidR="00A76D84" w:rsidRPr="00F86091" w:rsidRDefault="003B3911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Name of agent</w:t>
            </w:r>
          </w:p>
        </w:tc>
        <w:tc>
          <w:tcPr>
            <w:tcW w:w="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578F53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EC No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1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222AC9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CAS No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2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37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D02D60" w14:textId="77777777" w:rsidR="00A76D84" w:rsidRPr="00F86091" w:rsidRDefault="003B3911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Limit values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6972DF" w14:textId="77777777" w:rsidR="00A76D84" w:rsidRPr="00F86091" w:rsidRDefault="003B3911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Notation</w:t>
            </w: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68BB4A" w14:textId="77777777" w:rsidR="00A76D84" w:rsidRPr="00F86091" w:rsidRDefault="003B3911" w:rsidP="00AB7487">
            <w:pPr>
              <w:spacing w:before="0" w:after="0"/>
              <w:ind w:right="104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Transitional measures</w:t>
            </w:r>
          </w:p>
        </w:tc>
      </w:tr>
      <w:tr w:rsidR="00A76D84" w:rsidRPr="00F86091" w14:paraId="0784ABBF" w14:textId="77777777" w:rsidTr="00AB7487">
        <w:trPr>
          <w:trHeight w:val="285"/>
        </w:trPr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B71E2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CF784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06C14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2F0F08" w14:textId="77777777" w:rsidR="00A76D84" w:rsidRPr="00F86091" w:rsidRDefault="003B3911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8 hours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3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1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60A8F5" w14:textId="77777777" w:rsidR="00A76D84" w:rsidRPr="00F86091" w:rsidRDefault="003B3911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Short-term</w:t>
            </w:r>
            <w:r w:rsidRPr="00F86091">
              <w:rPr>
                <w:rFonts w:eastAsia="Times New Roman"/>
                <w:b/>
                <w:bCs/>
                <w:noProof/>
                <w:sz w:val="22"/>
              </w:rPr>
              <w:t xml:space="preserve"> </w:t>
            </w:r>
            <w:r w:rsidRPr="00F86091">
              <w:rPr>
                <w:rFonts w:eastAsia="Times New Roman"/>
                <w:noProof/>
                <w:sz w:val="22"/>
              </w:rPr>
              <w:t>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4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E8D01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43C92" w14:textId="77777777" w:rsidR="00A76D84" w:rsidRPr="00F86091" w:rsidRDefault="003B3911" w:rsidP="00AB7487">
            <w:pPr>
              <w:rPr>
                <w:noProof/>
              </w:rPr>
            </w:pPr>
          </w:p>
        </w:tc>
      </w:tr>
      <w:tr w:rsidR="00A76D84" w:rsidRPr="00F86091" w14:paraId="6264321E" w14:textId="77777777" w:rsidTr="00AB7487">
        <w:trPr>
          <w:trHeight w:val="450"/>
        </w:trPr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D77DC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BF29D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733A7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D52D23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mg/m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 xml:space="preserve">3 </w:t>
            </w:r>
            <w:r w:rsidRPr="00F86091">
              <w:rPr>
                <w:rFonts w:eastAsia="Times New Roman"/>
                <w:noProof/>
                <w:sz w:val="22"/>
              </w:rPr>
              <w:t>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5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58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317CA6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ppm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6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8879E95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f/ml</w:t>
            </w:r>
          </w:p>
          <w:p w14:paraId="15DB8F66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7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190AA8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mg/m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3</w:t>
            </w:r>
          </w:p>
        </w:tc>
        <w:tc>
          <w:tcPr>
            <w:tcW w:w="4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2BA9744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ppm</w:t>
            </w:r>
          </w:p>
        </w:tc>
        <w:tc>
          <w:tcPr>
            <w:tcW w:w="6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49C314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f/ml</w:t>
            </w: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D92A8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0204F" w14:textId="77777777" w:rsidR="00A76D84" w:rsidRPr="00F86091" w:rsidRDefault="003B3911" w:rsidP="00AB7487">
            <w:pPr>
              <w:rPr>
                <w:noProof/>
              </w:rPr>
            </w:pPr>
          </w:p>
        </w:tc>
      </w:tr>
      <w:tr w:rsidR="00A76D84" w:rsidRPr="00F86091" w14:paraId="367BF255" w14:textId="77777777" w:rsidTr="00AB7487">
        <w:trPr>
          <w:trHeight w:val="960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0" w:type="dxa"/>
              <w:right w:w="40" w:type="dxa"/>
            </w:tcMar>
          </w:tcPr>
          <w:p w14:paraId="38E38450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Polycyclic aromatic hydrocarbons mixtures, particularly those containing benzo[a]pyrene, which are carcinogens, mutagens or reprotoxicants within the meaning of this Directive</w:t>
            </w:r>
          </w:p>
        </w:tc>
        <w:tc>
          <w:tcPr>
            <w:tcW w:w="657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0B57BB9F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</w:p>
        </w:tc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3FC56BF9" w14:textId="77777777" w:rsidR="00A76D84" w:rsidRPr="00F86091" w:rsidRDefault="003B3911" w:rsidP="00AB7487">
            <w:pPr>
              <w:spacing w:before="0" w:after="0"/>
              <w:ind w:right="195"/>
              <w:rPr>
                <w:noProof/>
              </w:rPr>
            </w:pPr>
          </w:p>
        </w:tc>
        <w:tc>
          <w:tcPr>
            <w:tcW w:w="9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13CC058D" w14:textId="77777777" w:rsidR="00A76D84" w:rsidRPr="00F86091" w:rsidRDefault="003B3911" w:rsidP="00AB7487">
            <w:pPr>
              <w:spacing w:before="0" w:after="0"/>
              <w:ind w:right="195"/>
              <w:rPr>
                <w:noProof/>
              </w:rPr>
            </w:pPr>
            <w:r w:rsidRPr="00F86091">
              <w:rPr>
                <w:rFonts w:eastAsia="Times New Roman"/>
                <w:noProof/>
                <w:szCs w:val="24"/>
              </w:rPr>
              <w:t>0,00007</w:t>
            </w:r>
            <w:r w:rsidRPr="00F86091">
              <w:rPr>
                <w:rFonts w:eastAsia="Times New Roman"/>
                <w:noProof/>
                <w:sz w:val="22"/>
              </w:rPr>
              <w:t>(*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2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5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14FDC0C0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65D84703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</w:p>
        </w:tc>
        <w:tc>
          <w:tcPr>
            <w:tcW w:w="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35291FF2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</w:p>
        </w:tc>
        <w:tc>
          <w:tcPr>
            <w:tcW w:w="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05BB694C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01C34F0C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40" w:type="dxa"/>
              <w:right w:w="40" w:type="dxa"/>
            </w:tcMar>
          </w:tcPr>
          <w:p w14:paraId="3CBC28F2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Skin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10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0" w:type="dxa"/>
              <w:right w:w="40" w:type="dxa"/>
            </w:tcMar>
          </w:tcPr>
          <w:p w14:paraId="197B9E7D" w14:textId="77777777" w:rsidR="00A76D84" w:rsidRPr="00F86091" w:rsidRDefault="003B3911" w:rsidP="00AB7487">
            <w:pPr>
              <w:spacing w:before="0" w:after="0"/>
              <w:rPr>
                <w:rFonts w:eastAsia="Times New Roman"/>
                <w:b/>
                <w:bCs/>
                <w:i/>
                <w:iCs/>
                <w:noProof/>
                <w:sz w:val="22"/>
              </w:rPr>
            </w:pP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Limit value 0,00014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</w:rPr>
              <w:t xml:space="preserve">(*2) 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 xml:space="preserve">until </w:t>
            </w:r>
            <w:r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…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[OJ: six years after the date of entry into force of the amending Directive] limited to the following sectors:</w:t>
            </w:r>
            <w:r w:rsidRPr="00F86091">
              <w:rPr>
                <w:rFonts w:ascii="Calibri" w:eastAsia="Calibri" w:hAnsi="Calibri" w:cs="Calibri"/>
                <w:noProof/>
                <w:sz w:val="22"/>
              </w:rPr>
              <w:t xml:space="preserve"> 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(1) steel and iron foundries, which includes ferroalloy manufacturers, (2) aluminium manufacturers, (3) carbon and graphite electrode manu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 xml:space="preserve">facturers, (4) coking plants, (5) coal tar distillation, (6) 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lastRenderedPageBreak/>
              <w:t xml:space="preserve">refractory products manufacturers, (7) </w:t>
            </w:r>
            <w:bookmarkStart w:id="2" w:name="_Hlk200728195"/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welding of train tracks</w:t>
            </w:r>
            <w:bookmarkEnd w:id="2"/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 xml:space="preserve">, (8) other non-ferrous metallurgical processes, and (9) </w:t>
            </w:r>
            <w:bookmarkStart w:id="3" w:name="_Hlk200728281"/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casting of metals</w:t>
            </w:r>
            <w:bookmarkEnd w:id="3"/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 xml:space="preserve">.  </w:t>
            </w:r>
          </w:p>
        </w:tc>
      </w:tr>
    </w:tbl>
    <w:p w14:paraId="4C0C8750" w14:textId="77777777" w:rsidR="00A76D84" w:rsidRPr="00F86091" w:rsidRDefault="003B3911" w:rsidP="00A76D84">
      <w:pPr>
        <w:spacing w:before="0" w:after="200" w:line="276" w:lineRule="auto"/>
        <w:ind w:left="720"/>
        <w:rPr>
          <w:noProof/>
        </w:rPr>
      </w:pPr>
      <w:r w:rsidRPr="00F86091">
        <w:rPr>
          <w:rFonts w:eastAsia="Times New Roman"/>
          <w:b/>
          <w:bCs/>
          <w:noProof/>
          <w:color w:val="000000" w:themeColor="text1"/>
          <w:szCs w:val="24"/>
        </w:rPr>
        <w:lastRenderedPageBreak/>
        <w:t>’</w:t>
      </w:r>
    </w:p>
    <w:p w14:paraId="17AFD923" w14:textId="77777777" w:rsidR="00A76D84" w:rsidRDefault="003B3911" w:rsidP="00A76D84">
      <w:pPr>
        <w:spacing w:before="0" w:after="200" w:line="276" w:lineRule="auto"/>
        <w:ind w:left="720"/>
        <w:rPr>
          <w:rFonts w:eastAsia="Times New Roman"/>
          <w:noProof/>
          <w:color w:val="000000" w:themeColor="text1"/>
          <w:szCs w:val="24"/>
        </w:rPr>
      </w:pPr>
      <w:r w:rsidRPr="00F86091">
        <w:rPr>
          <w:rFonts w:eastAsia="Times New Roman"/>
          <w:noProof/>
          <w:color w:val="000000" w:themeColor="text1"/>
          <w:szCs w:val="24"/>
        </w:rPr>
        <w:t xml:space="preserve">(b) </w:t>
      </w:r>
      <w:r>
        <w:rPr>
          <w:rFonts w:eastAsia="Times New Roman"/>
          <w:noProof/>
          <w:color w:val="000000" w:themeColor="text1"/>
          <w:szCs w:val="24"/>
        </w:rPr>
        <w:tab/>
      </w:r>
      <w:r w:rsidRPr="00D57090">
        <w:rPr>
          <w:rFonts w:eastAsia="Times New Roman"/>
          <w:noProof/>
          <w:color w:val="000000" w:themeColor="text1"/>
          <w:szCs w:val="24"/>
        </w:rPr>
        <w:t xml:space="preserve">in the Table, the row related to mercury and </w:t>
      </w:r>
      <w:r w:rsidRPr="00D57090">
        <w:rPr>
          <w:rFonts w:eastAsia="Times New Roman"/>
          <w:noProof/>
          <w:color w:val="000000" w:themeColor="text1"/>
          <w:szCs w:val="24"/>
        </w:rPr>
        <w:t>divalent inorganic mercury compounds including mercuric oxide and mercuric chloride (measured as mercury) is replaced by the following</w:t>
      </w:r>
      <w:r>
        <w:rPr>
          <w:rFonts w:eastAsia="Times New Roman"/>
          <w:noProof/>
          <w:color w:val="000000" w:themeColor="text1"/>
          <w:szCs w:val="24"/>
        </w:rPr>
        <w:t>:</w:t>
      </w:r>
    </w:p>
    <w:p w14:paraId="5029DBB8" w14:textId="77777777" w:rsidR="00A76D84" w:rsidRPr="003D6EE6" w:rsidRDefault="003B3911" w:rsidP="00A76D84">
      <w:pPr>
        <w:spacing w:before="0" w:after="200" w:line="276" w:lineRule="auto"/>
        <w:rPr>
          <w:noProof/>
        </w:rPr>
      </w:pPr>
      <w:r>
        <w:rPr>
          <w:noProof/>
        </w:rPr>
        <w:tab/>
        <w:t>‘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55"/>
        <w:gridCol w:w="657"/>
        <w:gridCol w:w="631"/>
        <w:gridCol w:w="935"/>
        <w:gridCol w:w="584"/>
        <w:gridCol w:w="504"/>
        <w:gridCol w:w="625"/>
        <w:gridCol w:w="445"/>
        <w:gridCol w:w="623"/>
        <w:gridCol w:w="975"/>
        <w:gridCol w:w="1725"/>
      </w:tblGrid>
      <w:tr w:rsidR="00A76D84" w:rsidRPr="00F86091" w14:paraId="20BD8FBB" w14:textId="77777777" w:rsidTr="00AB7487">
        <w:trPr>
          <w:trHeight w:val="285"/>
        </w:trPr>
        <w:tc>
          <w:tcPr>
            <w:tcW w:w="1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70DF1109" w14:textId="77777777" w:rsidR="00A76D84" w:rsidRPr="00F86091" w:rsidRDefault="003B3911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Name of agent</w:t>
            </w:r>
          </w:p>
        </w:tc>
        <w:tc>
          <w:tcPr>
            <w:tcW w:w="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9D7564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EC No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1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AD3F32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CAS No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2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37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5E07AE" w14:textId="77777777" w:rsidR="00A76D84" w:rsidRPr="00F86091" w:rsidRDefault="003B3911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Limit values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595FA1" w14:textId="77777777" w:rsidR="00A76D84" w:rsidRPr="00F86091" w:rsidRDefault="003B3911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Notation</w:t>
            </w: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B6468E" w14:textId="77777777" w:rsidR="00A76D84" w:rsidRPr="00F86091" w:rsidRDefault="003B3911" w:rsidP="00AB7487">
            <w:pPr>
              <w:spacing w:before="0" w:after="0"/>
              <w:ind w:right="104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Transitional measures</w:t>
            </w:r>
          </w:p>
        </w:tc>
      </w:tr>
      <w:tr w:rsidR="00A76D84" w:rsidRPr="00F86091" w14:paraId="6B6AE68F" w14:textId="77777777" w:rsidTr="00AB7487">
        <w:trPr>
          <w:trHeight w:val="285"/>
        </w:trPr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FB0C2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CC250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76DFA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F2CD6A" w14:textId="77777777" w:rsidR="00A76D84" w:rsidRPr="00F86091" w:rsidRDefault="003B3911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8 hours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3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1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BF1AD3" w14:textId="77777777" w:rsidR="00A76D84" w:rsidRPr="00F86091" w:rsidRDefault="003B3911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Short-term</w:t>
            </w:r>
            <w:r w:rsidRPr="00F86091">
              <w:rPr>
                <w:rFonts w:eastAsia="Times New Roman"/>
                <w:b/>
                <w:bCs/>
                <w:noProof/>
                <w:sz w:val="22"/>
              </w:rPr>
              <w:t xml:space="preserve"> </w:t>
            </w:r>
            <w:r w:rsidRPr="00F86091">
              <w:rPr>
                <w:rFonts w:eastAsia="Times New Roman"/>
                <w:noProof/>
                <w:sz w:val="22"/>
              </w:rPr>
              <w:t>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4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4D6CA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0B774" w14:textId="77777777" w:rsidR="00A76D84" w:rsidRPr="00F86091" w:rsidRDefault="003B3911" w:rsidP="00AB7487">
            <w:pPr>
              <w:rPr>
                <w:noProof/>
              </w:rPr>
            </w:pPr>
          </w:p>
        </w:tc>
      </w:tr>
      <w:tr w:rsidR="00A76D84" w:rsidRPr="00F86091" w14:paraId="242C01E5" w14:textId="77777777" w:rsidTr="00AB7487">
        <w:trPr>
          <w:trHeight w:val="450"/>
        </w:trPr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BE645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DDBAD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16A5D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1A6EFF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mg/m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 xml:space="preserve">3 </w:t>
            </w:r>
            <w:r w:rsidRPr="00F86091">
              <w:rPr>
                <w:rFonts w:eastAsia="Times New Roman"/>
                <w:noProof/>
                <w:sz w:val="22"/>
              </w:rPr>
              <w:t>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5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58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20CDC1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ppm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6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8249E5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f/ml</w:t>
            </w:r>
          </w:p>
          <w:p w14:paraId="5559AC6F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7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38FAC9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mg/m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3</w:t>
            </w:r>
          </w:p>
        </w:tc>
        <w:tc>
          <w:tcPr>
            <w:tcW w:w="4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0F9D067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ppm</w:t>
            </w:r>
          </w:p>
        </w:tc>
        <w:tc>
          <w:tcPr>
            <w:tcW w:w="6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BCE219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f/ml</w:t>
            </w: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ABB63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3AACB" w14:textId="77777777" w:rsidR="00A76D84" w:rsidRPr="00F86091" w:rsidRDefault="003B3911" w:rsidP="00AB7487">
            <w:pPr>
              <w:rPr>
                <w:noProof/>
              </w:rPr>
            </w:pPr>
          </w:p>
        </w:tc>
      </w:tr>
      <w:tr w:rsidR="00A76D84" w:rsidRPr="00F86091" w14:paraId="51E5191E" w14:textId="77777777" w:rsidTr="00AB7487">
        <w:trPr>
          <w:trHeight w:val="960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0" w:type="dxa"/>
              <w:right w:w="40" w:type="dxa"/>
            </w:tcMar>
          </w:tcPr>
          <w:p w14:paraId="475160FE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Mercury and divalent inorganic mercury compounds that fall under the scope of this Directive (measured as mercury)</w:t>
            </w: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1802CFF6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3EF0C21F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3553EA1E" w14:textId="77777777" w:rsidR="00A76D84" w:rsidRPr="00F86091" w:rsidRDefault="003B3911" w:rsidP="00AB7487">
            <w:pPr>
              <w:spacing w:before="0" w:after="0"/>
              <w:ind w:right="195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0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,</w:t>
            </w:r>
            <w:r w:rsidRPr="00F86091">
              <w:rPr>
                <w:rFonts w:eastAsia="Times New Roman"/>
                <w:noProof/>
                <w:sz w:val="22"/>
              </w:rPr>
              <w:t>02</w:t>
            </w:r>
          </w:p>
        </w:tc>
        <w:tc>
          <w:tcPr>
            <w:tcW w:w="5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6F4945FB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690E9A27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  <w:r w:rsidRPr="00F86091">
              <w:rPr>
                <w:rFonts w:ascii="Symbol" w:eastAsia="Symbol" w:hAnsi="Symbol" w:cs="Symbol"/>
                <w:noProof/>
                <w:sz w:val="22"/>
              </w:rPr>
              <w:t></w:t>
            </w:r>
          </w:p>
        </w:tc>
        <w:tc>
          <w:tcPr>
            <w:tcW w:w="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703CC0A1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  <w:r w:rsidRPr="00F86091">
              <w:rPr>
                <w:rFonts w:ascii="Symbol" w:eastAsia="Symbol" w:hAnsi="Symbol" w:cs="Symbol"/>
                <w:noProof/>
                <w:sz w:val="22"/>
              </w:rPr>
              <w:t></w:t>
            </w:r>
          </w:p>
        </w:tc>
        <w:tc>
          <w:tcPr>
            <w:tcW w:w="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65B6C0FE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  <w:r w:rsidRPr="00F86091">
              <w:rPr>
                <w:rFonts w:ascii="Symbol" w:eastAsia="Symbol" w:hAnsi="Symbol" w:cs="Symbol"/>
                <w:noProof/>
                <w:sz w:val="22"/>
              </w:rPr>
              <w:t></w:t>
            </w:r>
          </w:p>
        </w:tc>
        <w:tc>
          <w:tcPr>
            <w:tcW w:w="6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2F16CEAE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  <w:r w:rsidRPr="00F86091">
              <w:rPr>
                <w:rFonts w:ascii="Symbol" w:eastAsia="Symbol" w:hAnsi="Symbol" w:cs="Symbol"/>
                <w:noProof/>
                <w:sz w:val="22"/>
              </w:rPr>
              <w:t>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40" w:type="dxa"/>
              <w:right w:w="40" w:type="dxa"/>
            </w:tcMar>
          </w:tcPr>
          <w:p w14:paraId="1903AD19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0" w:type="dxa"/>
              <w:right w:w="40" w:type="dxa"/>
            </w:tcMar>
          </w:tcPr>
          <w:p w14:paraId="3D14614A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</w:p>
        </w:tc>
      </w:tr>
    </w:tbl>
    <w:p w14:paraId="5D016771" w14:textId="77777777" w:rsidR="00A76D84" w:rsidRPr="003D6EE6" w:rsidRDefault="003B3911" w:rsidP="00A76D84">
      <w:pPr>
        <w:spacing w:before="0" w:after="200" w:line="276" w:lineRule="auto"/>
        <w:ind w:firstLine="720"/>
        <w:rPr>
          <w:noProof/>
        </w:rPr>
      </w:pPr>
      <w:r>
        <w:rPr>
          <w:noProof/>
        </w:rPr>
        <w:t>’;</w:t>
      </w:r>
    </w:p>
    <w:p w14:paraId="19EA4833" w14:textId="77777777" w:rsidR="00A76D84" w:rsidRPr="00F86091" w:rsidRDefault="003B3911" w:rsidP="00A76D84">
      <w:pPr>
        <w:spacing w:before="0" w:after="200" w:line="276" w:lineRule="auto"/>
        <w:ind w:left="720"/>
        <w:rPr>
          <w:noProof/>
        </w:rPr>
      </w:pPr>
      <w:r>
        <w:rPr>
          <w:rFonts w:eastAsia="Times New Roman"/>
          <w:noProof/>
          <w:color w:val="000000" w:themeColor="text1"/>
          <w:szCs w:val="24"/>
        </w:rPr>
        <w:t>(c)</w:t>
      </w:r>
      <w:r>
        <w:rPr>
          <w:rFonts w:eastAsia="Times New Roman"/>
          <w:noProof/>
          <w:color w:val="000000" w:themeColor="text1"/>
          <w:szCs w:val="24"/>
        </w:rPr>
        <w:tab/>
        <w:t xml:space="preserve">in the table </w:t>
      </w:r>
      <w:r w:rsidRPr="00F86091">
        <w:rPr>
          <w:rFonts w:eastAsia="Times New Roman"/>
          <w:noProof/>
          <w:color w:val="000000" w:themeColor="text1"/>
          <w:szCs w:val="24"/>
        </w:rPr>
        <w:t>the following rows are added</w:t>
      </w:r>
    </w:p>
    <w:p w14:paraId="4BE08074" w14:textId="77777777" w:rsidR="00A76D84" w:rsidRPr="00F86091" w:rsidRDefault="003B3911" w:rsidP="00A76D84">
      <w:pPr>
        <w:spacing w:before="0" w:after="200" w:line="276" w:lineRule="auto"/>
        <w:ind w:left="720"/>
        <w:rPr>
          <w:noProof/>
        </w:rPr>
      </w:pPr>
      <w:r w:rsidRPr="00F86091">
        <w:rPr>
          <w:rFonts w:eastAsia="Times New Roman"/>
          <w:noProof/>
          <w:color w:val="000000" w:themeColor="text1"/>
          <w:szCs w:val="24"/>
        </w:rPr>
        <w:t>‘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07"/>
        <w:gridCol w:w="637"/>
        <w:gridCol w:w="612"/>
        <w:gridCol w:w="865"/>
        <w:gridCol w:w="591"/>
        <w:gridCol w:w="489"/>
        <w:gridCol w:w="631"/>
        <w:gridCol w:w="449"/>
        <w:gridCol w:w="604"/>
        <w:gridCol w:w="1206"/>
        <w:gridCol w:w="1669"/>
      </w:tblGrid>
      <w:tr w:rsidR="00A76D84" w:rsidRPr="00F86091" w14:paraId="4D59E165" w14:textId="77777777" w:rsidTr="00AB7487">
        <w:trPr>
          <w:trHeight w:val="285"/>
        </w:trPr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7EACB741" w14:textId="77777777" w:rsidR="00A76D84" w:rsidRPr="00F86091" w:rsidRDefault="003B3911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Name of agent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FF4601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EC No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1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2D64E9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CAS No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2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3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85229A" w14:textId="77777777" w:rsidR="00A76D84" w:rsidRPr="00F86091" w:rsidRDefault="003B3911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Limit values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8D2D42" w14:textId="77777777" w:rsidR="00A76D84" w:rsidRPr="00F86091" w:rsidRDefault="003B3911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Notation</w:t>
            </w:r>
          </w:p>
        </w:tc>
        <w:tc>
          <w:tcPr>
            <w:tcW w:w="1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0E2979" w14:textId="77777777" w:rsidR="00A76D84" w:rsidRPr="00F86091" w:rsidRDefault="003B3911" w:rsidP="00AB7487">
            <w:pPr>
              <w:spacing w:before="0" w:after="0"/>
              <w:ind w:right="104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Transitional measures</w:t>
            </w:r>
          </w:p>
        </w:tc>
      </w:tr>
      <w:tr w:rsidR="00A76D84" w:rsidRPr="00F86091" w14:paraId="45816F9D" w14:textId="77777777" w:rsidTr="00AB7487">
        <w:trPr>
          <w:trHeight w:val="285"/>
        </w:trPr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8C2C0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3F82D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6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48136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1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ADA432" w14:textId="77777777" w:rsidR="00A76D84" w:rsidRPr="00F86091" w:rsidRDefault="003B3911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8 hours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3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80F91E" w14:textId="77777777" w:rsidR="00A76D84" w:rsidRPr="00F86091" w:rsidRDefault="003B3911" w:rsidP="00AB7487">
            <w:pPr>
              <w:spacing w:before="0" w:after="0"/>
              <w:ind w:right="195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Short-term</w:t>
            </w:r>
            <w:r w:rsidRPr="00F86091">
              <w:rPr>
                <w:rFonts w:eastAsia="Times New Roman"/>
                <w:b/>
                <w:bCs/>
                <w:noProof/>
                <w:sz w:val="22"/>
              </w:rPr>
              <w:t xml:space="preserve"> </w:t>
            </w:r>
            <w:r w:rsidRPr="00F86091">
              <w:rPr>
                <w:rFonts w:eastAsia="Times New Roman"/>
                <w:noProof/>
                <w:sz w:val="22"/>
              </w:rPr>
              <w:t>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4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1D467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1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E71D2" w14:textId="77777777" w:rsidR="00A76D84" w:rsidRPr="00F86091" w:rsidRDefault="003B3911" w:rsidP="00AB7487">
            <w:pPr>
              <w:rPr>
                <w:noProof/>
              </w:rPr>
            </w:pPr>
          </w:p>
        </w:tc>
      </w:tr>
      <w:tr w:rsidR="00A76D84" w:rsidRPr="00F86091" w14:paraId="3A89435F" w14:textId="77777777" w:rsidTr="00AB7487">
        <w:trPr>
          <w:trHeight w:val="450"/>
        </w:trPr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3AA36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59ABB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6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DCBDB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86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1254D2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mg/m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 xml:space="preserve">3 </w:t>
            </w:r>
            <w:r w:rsidRPr="00F86091">
              <w:rPr>
                <w:rFonts w:eastAsia="Times New Roman"/>
                <w:noProof/>
                <w:sz w:val="22"/>
              </w:rPr>
              <w:t>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5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5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4CC1F8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ppm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6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4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BA4474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f/ml</w:t>
            </w:r>
          </w:p>
          <w:p w14:paraId="54E0C545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7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DFCCB92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mg/m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3</w:t>
            </w:r>
          </w:p>
        </w:tc>
        <w:tc>
          <w:tcPr>
            <w:tcW w:w="44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1A8244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ppm</w:t>
            </w:r>
          </w:p>
        </w:tc>
        <w:tc>
          <w:tcPr>
            <w:tcW w:w="60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046FEC" w14:textId="77777777" w:rsidR="00A76D84" w:rsidRPr="00F86091" w:rsidRDefault="003B3911" w:rsidP="00AB7487">
            <w:pPr>
              <w:spacing w:before="0" w:after="0"/>
              <w:jc w:val="center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f/ml</w:t>
            </w: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6AF71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1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53B85" w14:textId="77777777" w:rsidR="00A76D84" w:rsidRPr="00F86091" w:rsidRDefault="003B3911" w:rsidP="00AB7487">
            <w:pPr>
              <w:rPr>
                <w:noProof/>
              </w:rPr>
            </w:pPr>
          </w:p>
        </w:tc>
      </w:tr>
      <w:tr w:rsidR="00A76D84" w:rsidRPr="00F86091" w14:paraId="357E68C9" w14:textId="77777777" w:rsidTr="00AB7487">
        <w:trPr>
          <w:trHeight w:val="960"/>
        </w:trPr>
        <w:tc>
          <w:tcPr>
            <w:tcW w:w="130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3EEA5620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  <w:bookmarkStart w:id="4" w:name="_Hlk200038983"/>
            <w:r w:rsidRPr="00F86091">
              <w:rPr>
                <w:rFonts w:eastAsia="Times New Roman"/>
                <w:noProof/>
                <w:sz w:val="22"/>
              </w:rPr>
              <w:t>Cobalt and inorganic cobalt compounds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3EF6CF75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1D81A06F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10F48F81" w14:textId="77777777" w:rsidR="00A76D84" w:rsidRPr="00F86091" w:rsidRDefault="003B3911" w:rsidP="00AB7487">
            <w:pPr>
              <w:spacing w:before="0" w:after="0"/>
              <w:ind w:right="195"/>
              <w:rPr>
                <w:noProof/>
              </w:rPr>
            </w:pPr>
            <w:r w:rsidRPr="00F86091">
              <w:rPr>
                <w:rFonts w:eastAsia="Times New Roman"/>
                <w:noProof/>
                <w:szCs w:val="24"/>
              </w:rPr>
              <w:t>0,01</w:t>
            </w:r>
            <w:r w:rsidRPr="00F86091">
              <w:rPr>
                <w:rFonts w:eastAsia="Times New Roman"/>
                <w:noProof/>
                <w:sz w:val="22"/>
              </w:rPr>
              <w:t>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11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  <w:p w14:paraId="1131FECA" w14:textId="77777777" w:rsidR="00A76D84" w:rsidRPr="00F86091" w:rsidRDefault="003B3911" w:rsidP="00AB7487">
            <w:pPr>
              <w:spacing w:before="0" w:after="0"/>
              <w:ind w:right="195"/>
              <w:rPr>
                <w:noProof/>
              </w:rPr>
            </w:pPr>
            <w:r w:rsidRPr="00F86091">
              <w:rPr>
                <w:rFonts w:eastAsia="Times New Roman"/>
                <w:noProof/>
              </w:rPr>
              <w:t>0,0025</w:t>
            </w:r>
            <w:r w:rsidRPr="00F86091">
              <w:rPr>
                <w:rFonts w:eastAsia="Times New Roman"/>
                <w:noProof/>
                <w:sz w:val="22"/>
              </w:rPr>
              <w:t>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9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5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46084454" w14:textId="77777777" w:rsidR="00A76D84" w:rsidRPr="00F86091" w:rsidRDefault="003B3911" w:rsidP="00AB7487">
            <w:pPr>
              <w:rPr>
                <w:noProof/>
              </w:rPr>
            </w:pPr>
          </w:p>
        </w:tc>
        <w:tc>
          <w:tcPr>
            <w:tcW w:w="4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46322627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  <w:r w:rsidRPr="00F86091">
              <w:rPr>
                <w:rFonts w:ascii="Symbol" w:eastAsia="Symbol" w:hAnsi="Symbol" w:cs="Symbol"/>
                <w:noProof/>
                <w:sz w:val="22"/>
              </w:rPr>
              <w:t></w:t>
            </w:r>
          </w:p>
        </w:tc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0CEE85A1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  <w:r w:rsidRPr="00F86091">
              <w:rPr>
                <w:rFonts w:ascii="Symbol" w:eastAsia="Symbol" w:hAnsi="Symbol" w:cs="Symbol"/>
                <w:noProof/>
                <w:sz w:val="22"/>
              </w:rPr>
              <w:t></w:t>
            </w:r>
          </w:p>
        </w:tc>
        <w:tc>
          <w:tcPr>
            <w:tcW w:w="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358934B3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  <w:r w:rsidRPr="00F86091">
              <w:rPr>
                <w:rFonts w:ascii="Symbol" w:eastAsia="Symbol" w:hAnsi="Symbol" w:cs="Symbol"/>
                <w:noProof/>
                <w:sz w:val="22"/>
              </w:rPr>
              <w:t></w:t>
            </w:r>
          </w:p>
        </w:tc>
        <w:tc>
          <w:tcPr>
            <w:tcW w:w="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6BB78E3E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  <w:r w:rsidRPr="00F86091">
              <w:rPr>
                <w:rFonts w:ascii="Symbol" w:eastAsia="Symbol" w:hAnsi="Symbol" w:cs="Symbol"/>
                <w:noProof/>
                <w:sz w:val="22"/>
              </w:rPr>
              <w:t>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7BD8CAD8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dermal and respiratory sensitisation(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13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46EAB715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 xml:space="preserve">Limit value of </w:t>
            </w:r>
            <w:r w:rsidRPr="00651A0E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0,0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Cs w:val="24"/>
              </w:rPr>
              <w:t>2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(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  <w:vertAlign w:val="superscript"/>
              </w:rPr>
              <w:t>11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)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Cs w:val="24"/>
              </w:rPr>
              <w:t xml:space="preserve"> and 0,0042(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  <w:vertAlign w:val="superscript"/>
              </w:rPr>
              <w:t>9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)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Cs w:val="24"/>
              </w:rPr>
              <w:t xml:space="preserve"> 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 xml:space="preserve">until </w:t>
            </w:r>
            <w:r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…</w:t>
            </w:r>
            <w:r w:rsidRPr="00F86091">
              <w:rPr>
                <w:rFonts w:eastAsia="Times New Roman"/>
                <w:b/>
                <w:bCs/>
                <w:i/>
                <w:iCs/>
                <w:noProof/>
                <w:sz w:val="22"/>
              </w:rPr>
              <w:t>[OJ: six years after the date of entry into force of the amending Directive]</w:t>
            </w:r>
          </w:p>
        </w:tc>
      </w:tr>
      <w:bookmarkEnd w:id="4"/>
      <w:tr w:rsidR="00A76D84" w:rsidRPr="00F86091" w14:paraId="59D831C2" w14:textId="77777777" w:rsidTr="00AB7487">
        <w:trPr>
          <w:trHeight w:val="960"/>
        </w:trPr>
        <w:tc>
          <w:tcPr>
            <w:tcW w:w="13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4D86BDC9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lastRenderedPageBreak/>
              <w:t>1,4-dioxane</w:t>
            </w:r>
          </w:p>
        </w:tc>
        <w:tc>
          <w:tcPr>
            <w:tcW w:w="6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452BAEE5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</w:p>
        </w:tc>
        <w:tc>
          <w:tcPr>
            <w:tcW w:w="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37E17018" w14:textId="77777777" w:rsidR="00A76D84" w:rsidRPr="00F86091" w:rsidRDefault="003B3911" w:rsidP="00AB7487">
            <w:pPr>
              <w:spacing w:before="0" w:after="0"/>
              <w:ind w:right="195"/>
              <w:rPr>
                <w:noProof/>
              </w:rPr>
            </w:pPr>
          </w:p>
        </w:tc>
        <w:tc>
          <w:tcPr>
            <w:tcW w:w="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5E960795" w14:textId="77777777" w:rsidR="00A76D84" w:rsidRPr="00F86091" w:rsidRDefault="003B3911" w:rsidP="00AB7487">
            <w:pPr>
              <w:spacing w:before="0" w:after="0"/>
              <w:ind w:right="195"/>
              <w:rPr>
                <w:noProof/>
              </w:rPr>
            </w:pPr>
            <w:r w:rsidRPr="00F86091">
              <w:rPr>
                <w:rFonts w:eastAsia="Times New Roman"/>
                <w:noProof/>
                <w:szCs w:val="24"/>
              </w:rPr>
              <w:t>7,3</w:t>
            </w:r>
          </w:p>
        </w:tc>
        <w:tc>
          <w:tcPr>
            <w:tcW w:w="5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3CADC82E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  <w:r w:rsidRPr="00F86091">
              <w:rPr>
                <w:rFonts w:eastAsia="Times New Roman"/>
                <w:noProof/>
                <w:szCs w:val="24"/>
              </w:rPr>
              <w:t xml:space="preserve">2 </w:t>
            </w:r>
          </w:p>
        </w:tc>
        <w:tc>
          <w:tcPr>
            <w:tcW w:w="4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71E55982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</w:p>
        </w:tc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06A7D767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  <w:r w:rsidRPr="00F86091">
              <w:rPr>
                <w:rFonts w:eastAsia="Times New Roman"/>
                <w:noProof/>
                <w:szCs w:val="24"/>
              </w:rPr>
              <w:t xml:space="preserve">73 </w:t>
            </w:r>
          </w:p>
        </w:tc>
        <w:tc>
          <w:tcPr>
            <w:tcW w:w="4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6FFF319A" w14:textId="77777777" w:rsidR="00A76D84" w:rsidRPr="00F86091" w:rsidRDefault="003B3911" w:rsidP="00AB7487">
            <w:pPr>
              <w:spacing w:before="0" w:after="0"/>
              <w:rPr>
                <w:rFonts w:eastAsia="Times New Roman"/>
                <w:noProof/>
                <w:sz w:val="22"/>
              </w:rPr>
            </w:pPr>
            <w:r w:rsidRPr="00F86091">
              <w:rPr>
                <w:rFonts w:eastAsia="Times New Roman"/>
                <w:noProof/>
              </w:rPr>
              <w:t xml:space="preserve">20 </w:t>
            </w:r>
          </w:p>
        </w:tc>
        <w:tc>
          <w:tcPr>
            <w:tcW w:w="6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2C1EE113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</w:p>
        </w:tc>
        <w:tc>
          <w:tcPr>
            <w:tcW w:w="1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37AD60C2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>Skin (</w:t>
            </w:r>
            <w:r w:rsidRPr="00F86091">
              <w:rPr>
                <w:rFonts w:eastAsia="Times New Roman"/>
                <w:noProof/>
                <w:sz w:val="22"/>
                <w:vertAlign w:val="superscript"/>
              </w:rPr>
              <w:t>10</w:t>
            </w:r>
            <w:r w:rsidRPr="00F86091">
              <w:rPr>
                <w:rFonts w:eastAsia="Times New Roman"/>
                <w:noProof/>
                <w:sz w:val="22"/>
              </w:rPr>
              <w:t>)</w:t>
            </w:r>
          </w:p>
          <w:p w14:paraId="1165B790" w14:textId="77777777" w:rsidR="00A76D84" w:rsidRPr="00F86091" w:rsidRDefault="003B3911" w:rsidP="00AB7487">
            <w:pPr>
              <w:spacing w:before="0" w:after="160" w:line="257" w:lineRule="auto"/>
              <w:rPr>
                <w:noProof/>
              </w:rPr>
            </w:pPr>
            <w:r w:rsidRPr="00F86091">
              <w:rPr>
                <w:rFonts w:eastAsia="Times New Roman"/>
                <w:noProof/>
                <w:sz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0" w:type="dxa"/>
              <w:right w:w="40" w:type="dxa"/>
            </w:tcMar>
          </w:tcPr>
          <w:p w14:paraId="063FD4ED" w14:textId="77777777" w:rsidR="00A76D84" w:rsidRPr="00F86091" w:rsidRDefault="003B3911" w:rsidP="00AB7487">
            <w:pPr>
              <w:spacing w:before="0" w:after="0"/>
              <w:rPr>
                <w:noProof/>
              </w:rPr>
            </w:pPr>
          </w:p>
        </w:tc>
      </w:tr>
    </w:tbl>
    <w:p w14:paraId="55F9B904" w14:textId="77777777" w:rsidR="00A76D84" w:rsidRPr="00D57090" w:rsidRDefault="003B3911" w:rsidP="00A76D84">
      <w:pPr>
        <w:spacing w:before="0" w:after="200" w:line="276" w:lineRule="auto"/>
        <w:ind w:left="720"/>
        <w:rPr>
          <w:noProof/>
        </w:rPr>
      </w:pPr>
      <w:r w:rsidRPr="003D6EE6">
        <w:rPr>
          <w:rFonts w:eastAsia="Times New Roman"/>
          <w:noProof/>
          <w:color w:val="000000" w:themeColor="text1"/>
          <w:szCs w:val="24"/>
        </w:rPr>
        <w:t xml:space="preserve">’; </w:t>
      </w:r>
    </w:p>
    <w:p w14:paraId="683BAA9D" w14:textId="77777777" w:rsidR="00A76D84" w:rsidRPr="00AC7E92" w:rsidRDefault="003B3911" w:rsidP="00A76D84">
      <w:pPr>
        <w:rPr>
          <w:noProof/>
        </w:rPr>
      </w:pPr>
      <w:r>
        <w:rPr>
          <w:rFonts w:eastAsia="Times New Roman"/>
          <w:noProof/>
          <w:szCs w:val="24"/>
        </w:rPr>
        <w:tab/>
      </w:r>
      <w:r>
        <w:rPr>
          <w:rFonts w:eastAsia="Times New Roman"/>
          <w:noProof/>
          <w:szCs w:val="24"/>
        </w:rPr>
        <w:t xml:space="preserve">(d) in the footnotes after the Table, the following footnote (*2) is added: </w:t>
      </w:r>
      <w:r w:rsidRPr="449BDA64">
        <w:rPr>
          <w:rFonts w:eastAsia="Times New Roman"/>
          <w:noProof/>
          <w:szCs w:val="24"/>
        </w:rPr>
        <w:t xml:space="preserve"> </w:t>
      </w:r>
    </w:p>
    <w:p w14:paraId="540D32E8" w14:textId="77777777" w:rsidR="00A76D84" w:rsidRPr="00A8545C" w:rsidRDefault="003B3911" w:rsidP="00A76D84">
      <w:pPr>
        <w:ind w:firstLine="720"/>
        <w:rPr>
          <w:noProof/>
        </w:rPr>
      </w:pPr>
      <w:r>
        <w:rPr>
          <w:rFonts w:eastAsia="Times New Roman"/>
          <w:noProof/>
          <w:color w:val="000000" w:themeColor="text1"/>
          <w:szCs w:val="24"/>
        </w:rPr>
        <w:t>‘</w:t>
      </w:r>
      <w:r w:rsidRPr="00CA3375">
        <w:rPr>
          <w:rFonts w:eastAsia="Times New Roman"/>
          <w:noProof/>
          <w:color w:val="000000" w:themeColor="text1"/>
          <w:szCs w:val="24"/>
        </w:rPr>
        <w:t xml:space="preserve">(*2) </w:t>
      </w:r>
      <w:r w:rsidRPr="00A8545C">
        <w:rPr>
          <w:noProof/>
        </w:rPr>
        <w:tab/>
      </w:r>
      <w:r w:rsidRPr="00CA3375">
        <w:rPr>
          <w:rFonts w:eastAsia="Times New Roman"/>
          <w:noProof/>
          <w:color w:val="000000" w:themeColor="text1"/>
          <w:szCs w:val="24"/>
        </w:rPr>
        <w:t>Measured as benzo[a]pyrene.</w:t>
      </w:r>
      <w:r>
        <w:rPr>
          <w:rFonts w:eastAsia="Times New Roman"/>
          <w:noProof/>
          <w:color w:val="000000" w:themeColor="text1"/>
          <w:szCs w:val="24"/>
        </w:rPr>
        <w:t>’;</w:t>
      </w:r>
    </w:p>
    <w:p w14:paraId="1966E160" w14:textId="77777777" w:rsidR="00A76D84" w:rsidRPr="00F86091" w:rsidRDefault="003B3911" w:rsidP="00A76D84">
      <w:pPr>
        <w:rPr>
          <w:noProof/>
        </w:rPr>
      </w:pPr>
    </w:p>
    <w:p w14:paraId="1AE0D35A" w14:textId="77777777" w:rsidR="00A76D84" w:rsidRPr="00F86091" w:rsidRDefault="003B3911" w:rsidP="00A76D84">
      <w:pPr>
        <w:ind w:left="851" w:hanging="851"/>
        <w:rPr>
          <w:noProof/>
        </w:rPr>
      </w:pPr>
      <w:r w:rsidRPr="00F86091">
        <w:rPr>
          <w:rFonts w:eastAsia="Times New Roman"/>
          <w:noProof/>
          <w:color w:val="000000" w:themeColor="text1"/>
          <w:szCs w:val="24"/>
        </w:rPr>
        <w:t>(</w:t>
      </w:r>
      <w:r w:rsidRPr="00F86091">
        <w:rPr>
          <w:rFonts w:eastAsia="Times New Roman"/>
          <w:noProof/>
          <w:color w:val="000000" w:themeColor="text1"/>
          <w:szCs w:val="24"/>
          <w:vertAlign w:val="superscript"/>
        </w:rPr>
        <w:t>1</w:t>
      </w:r>
      <w:r w:rsidRPr="00F86091">
        <w:rPr>
          <w:rFonts w:eastAsia="Times New Roman"/>
          <w:noProof/>
          <w:color w:val="000000" w:themeColor="text1"/>
          <w:szCs w:val="24"/>
        </w:rPr>
        <w:t>)</w:t>
      </w:r>
      <w:r w:rsidRPr="00F86091">
        <w:rPr>
          <w:noProof/>
        </w:rPr>
        <w:tab/>
      </w:r>
      <w:r w:rsidRPr="00F86091">
        <w:rPr>
          <w:rFonts w:eastAsia="Times New Roman"/>
          <w:noProof/>
          <w:szCs w:val="24"/>
        </w:rPr>
        <w:t>EC No, i.e. Einecs, ELINCS or NLP, is the official number of the substance within the European Union, as defined in Section 1.1.1.2 in A</w:t>
      </w:r>
      <w:r w:rsidRPr="00F86091">
        <w:rPr>
          <w:rFonts w:eastAsia="Times New Roman"/>
          <w:noProof/>
          <w:szCs w:val="24"/>
        </w:rPr>
        <w:t>nnex VI, Part 1, to Regulation (EC) No</w:t>
      </w:r>
      <w:r>
        <w:rPr>
          <w:rFonts w:eastAsia="Times New Roman"/>
          <w:noProof/>
          <w:szCs w:val="24"/>
        </w:rPr>
        <w:t> </w:t>
      </w:r>
      <w:r w:rsidRPr="00F86091">
        <w:rPr>
          <w:rFonts w:eastAsia="Times New Roman"/>
          <w:noProof/>
          <w:szCs w:val="24"/>
        </w:rPr>
        <w:t>1272/2008.</w:t>
      </w:r>
    </w:p>
    <w:p w14:paraId="3E18F55E" w14:textId="77777777" w:rsidR="00A76D84" w:rsidRPr="00F86091" w:rsidRDefault="003B3911" w:rsidP="00A76D84">
      <w:pPr>
        <w:rPr>
          <w:noProof/>
        </w:rPr>
      </w:pPr>
      <w:r w:rsidRPr="00F86091">
        <w:rPr>
          <w:rFonts w:eastAsia="Times New Roman"/>
          <w:noProof/>
          <w:szCs w:val="24"/>
        </w:rPr>
        <w:t>(</w:t>
      </w:r>
      <w:r w:rsidRPr="00F86091">
        <w:rPr>
          <w:rFonts w:eastAsia="Times New Roman"/>
          <w:noProof/>
          <w:szCs w:val="24"/>
          <w:vertAlign w:val="superscript"/>
        </w:rPr>
        <w:t>2</w:t>
      </w:r>
      <w:r w:rsidRPr="00F86091">
        <w:rPr>
          <w:rFonts w:eastAsia="Times New Roman"/>
          <w:noProof/>
          <w:szCs w:val="24"/>
        </w:rPr>
        <w:t>)</w:t>
      </w:r>
      <w:r w:rsidRPr="00F86091">
        <w:rPr>
          <w:noProof/>
        </w:rPr>
        <w:tab/>
      </w:r>
      <w:r w:rsidRPr="00F86091">
        <w:rPr>
          <w:rFonts w:eastAsia="Times New Roman"/>
          <w:noProof/>
          <w:szCs w:val="24"/>
        </w:rPr>
        <w:t>CAS No: Chemical Abstract Service Registry Number.</w:t>
      </w:r>
    </w:p>
    <w:p w14:paraId="5E89F089" w14:textId="77777777" w:rsidR="00A76D84" w:rsidRPr="00F86091" w:rsidRDefault="003B3911" w:rsidP="00A76D84">
      <w:pPr>
        <w:ind w:left="851" w:hanging="851"/>
        <w:rPr>
          <w:noProof/>
        </w:rPr>
      </w:pPr>
      <w:r w:rsidRPr="00F86091">
        <w:rPr>
          <w:rFonts w:eastAsia="Times New Roman"/>
          <w:noProof/>
          <w:color w:val="000000" w:themeColor="text1"/>
          <w:szCs w:val="24"/>
        </w:rPr>
        <w:t>(</w:t>
      </w:r>
      <w:r w:rsidRPr="00F86091">
        <w:rPr>
          <w:rFonts w:eastAsia="Times New Roman"/>
          <w:noProof/>
          <w:color w:val="000000" w:themeColor="text1"/>
          <w:szCs w:val="24"/>
          <w:vertAlign w:val="superscript"/>
        </w:rPr>
        <w:t>3</w:t>
      </w:r>
      <w:r w:rsidRPr="00F86091">
        <w:rPr>
          <w:rFonts w:eastAsia="Times New Roman"/>
          <w:noProof/>
          <w:color w:val="000000" w:themeColor="text1"/>
          <w:szCs w:val="24"/>
        </w:rPr>
        <w:t>)</w:t>
      </w:r>
      <w:r w:rsidRPr="00F86091">
        <w:rPr>
          <w:noProof/>
        </w:rPr>
        <w:tab/>
      </w:r>
      <w:r w:rsidRPr="00F86091">
        <w:rPr>
          <w:rFonts w:eastAsia="Times New Roman"/>
          <w:noProof/>
          <w:color w:val="000000" w:themeColor="text1"/>
          <w:szCs w:val="24"/>
        </w:rPr>
        <w:t xml:space="preserve">Measured or calculated </w:t>
      </w:r>
      <w:r>
        <w:rPr>
          <w:rFonts w:eastAsia="Times New Roman"/>
          <w:noProof/>
          <w:color w:val="000000" w:themeColor="text1"/>
          <w:szCs w:val="24"/>
        </w:rPr>
        <w:t>for</w:t>
      </w:r>
      <w:r w:rsidRPr="00F86091">
        <w:rPr>
          <w:rFonts w:eastAsia="Times New Roman"/>
          <w:noProof/>
          <w:color w:val="000000" w:themeColor="text1"/>
          <w:szCs w:val="24"/>
        </w:rPr>
        <w:t xml:space="preserve"> a reference period of eight hours time-weighted average (TWA).</w:t>
      </w:r>
    </w:p>
    <w:p w14:paraId="6CDDAC5B" w14:textId="77777777" w:rsidR="00A76D84" w:rsidRPr="00F86091" w:rsidRDefault="003B3911" w:rsidP="00A76D84">
      <w:pPr>
        <w:ind w:left="851" w:hanging="851"/>
        <w:rPr>
          <w:noProof/>
        </w:rPr>
      </w:pPr>
      <w:r w:rsidRPr="00F86091">
        <w:rPr>
          <w:rFonts w:eastAsia="Times New Roman"/>
          <w:noProof/>
          <w:color w:val="000000" w:themeColor="text1"/>
          <w:szCs w:val="24"/>
        </w:rPr>
        <w:t>(</w:t>
      </w:r>
      <w:r w:rsidRPr="00F86091">
        <w:rPr>
          <w:rFonts w:eastAsia="Times New Roman"/>
          <w:noProof/>
          <w:color w:val="000000" w:themeColor="text1"/>
          <w:szCs w:val="24"/>
          <w:vertAlign w:val="superscript"/>
        </w:rPr>
        <w:t>4</w:t>
      </w:r>
      <w:r w:rsidRPr="00F86091">
        <w:rPr>
          <w:rFonts w:eastAsia="Times New Roman"/>
          <w:noProof/>
          <w:color w:val="000000" w:themeColor="text1"/>
          <w:szCs w:val="24"/>
        </w:rPr>
        <w:t>)</w:t>
      </w:r>
      <w:r w:rsidRPr="00F86091">
        <w:rPr>
          <w:noProof/>
        </w:rPr>
        <w:tab/>
      </w:r>
      <w:r w:rsidRPr="00F86091">
        <w:rPr>
          <w:rFonts w:eastAsia="Times New Roman"/>
          <w:noProof/>
          <w:color w:val="000000" w:themeColor="text1"/>
          <w:szCs w:val="24"/>
        </w:rPr>
        <w:t xml:space="preserve">Short-term exposure limit (STEL). A limit value above which exposure should not occur and which is </w:t>
      </w:r>
      <w:r>
        <w:rPr>
          <w:rFonts w:eastAsia="Times New Roman"/>
          <w:noProof/>
          <w:color w:val="000000" w:themeColor="text1"/>
          <w:szCs w:val="24"/>
        </w:rPr>
        <w:t>for</w:t>
      </w:r>
      <w:r w:rsidRPr="00F86091">
        <w:rPr>
          <w:rFonts w:eastAsia="Times New Roman"/>
          <w:noProof/>
          <w:color w:val="000000" w:themeColor="text1"/>
          <w:szCs w:val="24"/>
        </w:rPr>
        <w:t xml:space="preserve"> a 15-minute period unless otherwise specified.</w:t>
      </w:r>
    </w:p>
    <w:p w14:paraId="0F2A112D" w14:textId="77777777" w:rsidR="00A76D84" w:rsidRPr="00F86091" w:rsidRDefault="003B3911" w:rsidP="00A76D84">
      <w:pPr>
        <w:ind w:left="851" w:hanging="851"/>
        <w:rPr>
          <w:noProof/>
        </w:rPr>
      </w:pPr>
      <w:r w:rsidRPr="00F86091">
        <w:rPr>
          <w:rFonts w:eastAsia="Times New Roman"/>
          <w:noProof/>
          <w:color w:val="000000" w:themeColor="text1"/>
          <w:szCs w:val="24"/>
        </w:rPr>
        <w:t>(</w:t>
      </w:r>
      <w:r w:rsidRPr="00F86091">
        <w:rPr>
          <w:rFonts w:eastAsia="Times New Roman"/>
          <w:noProof/>
          <w:color w:val="000000" w:themeColor="text1"/>
          <w:szCs w:val="24"/>
          <w:vertAlign w:val="superscript"/>
        </w:rPr>
        <w:t>5</w:t>
      </w:r>
      <w:r w:rsidRPr="00F86091">
        <w:rPr>
          <w:rFonts w:eastAsia="Times New Roman"/>
          <w:noProof/>
          <w:color w:val="000000" w:themeColor="text1"/>
          <w:szCs w:val="24"/>
        </w:rPr>
        <w:t>)</w:t>
      </w:r>
      <w:r w:rsidRPr="00F86091">
        <w:rPr>
          <w:noProof/>
        </w:rPr>
        <w:tab/>
      </w:r>
      <w:r w:rsidRPr="00F86091">
        <w:rPr>
          <w:rFonts w:eastAsia="Times New Roman"/>
          <w:noProof/>
          <w:color w:val="000000" w:themeColor="text1"/>
          <w:szCs w:val="24"/>
        </w:rPr>
        <w:t>mg/m</w:t>
      </w:r>
      <w:r w:rsidRPr="00F86091">
        <w:rPr>
          <w:rFonts w:eastAsia="Times New Roman"/>
          <w:noProof/>
          <w:color w:val="000000" w:themeColor="text1"/>
          <w:szCs w:val="24"/>
          <w:vertAlign w:val="superscript"/>
        </w:rPr>
        <w:t>3</w:t>
      </w:r>
      <w:r w:rsidRPr="00F86091">
        <w:rPr>
          <w:rFonts w:eastAsia="Times New Roman"/>
          <w:noProof/>
          <w:color w:val="000000" w:themeColor="text1"/>
          <w:szCs w:val="24"/>
        </w:rPr>
        <w:t xml:space="preserve"> = milligrams per cubic metre</w:t>
      </w:r>
      <w:r w:rsidRPr="00F86091">
        <w:rPr>
          <w:rFonts w:eastAsia="Times New Roman"/>
          <w:noProof/>
          <w:color w:val="000000" w:themeColor="text1"/>
          <w:szCs w:val="24"/>
        </w:rPr>
        <w:t xml:space="preserve"> of air at 20</w:t>
      </w:r>
      <w:r>
        <w:rPr>
          <w:rFonts w:eastAsia="Times New Roman"/>
          <w:noProof/>
          <w:color w:val="000000" w:themeColor="text1"/>
          <w:szCs w:val="24"/>
        </w:rPr>
        <w:t> </w:t>
      </w:r>
      <w:r w:rsidRPr="00F86091">
        <w:rPr>
          <w:rFonts w:eastAsia="Times New Roman"/>
          <w:noProof/>
          <w:color w:val="000000" w:themeColor="text1"/>
          <w:szCs w:val="24"/>
        </w:rPr>
        <w:t>°C and 101,3</w:t>
      </w:r>
      <w:r>
        <w:rPr>
          <w:rFonts w:eastAsia="Times New Roman"/>
          <w:noProof/>
          <w:color w:val="000000" w:themeColor="text1"/>
          <w:szCs w:val="24"/>
        </w:rPr>
        <w:t> kPa</w:t>
      </w:r>
      <w:r w:rsidRPr="00F86091">
        <w:rPr>
          <w:rFonts w:eastAsia="Times New Roman"/>
          <w:noProof/>
          <w:color w:val="000000" w:themeColor="text1"/>
          <w:szCs w:val="24"/>
        </w:rPr>
        <w:t xml:space="preserve"> (760</w:t>
      </w:r>
      <w:r>
        <w:rPr>
          <w:rFonts w:eastAsia="Times New Roman"/>
          <w:noProof/>
          <w:color w:val="000000" w:themeColor="text1"/>
          <w:szCs w:val="24"/>
        </w:rPr>
        <w:t> </w:t>
      </w:r>
      <w:r w:rsidRPr="00F86091">
        <w:rPr>
          <w:rFonts w:eastAsia="Times New Roman"/>
          <w:noProof/>
          <w:color w:val="000000" w:themeColor="text1"/>
          <w:szCs w:val="24"/>
        </w:rPr>
        <w:t>mm mercury pressure).</w:t>
      </w:r>
    </w:p>
    <w:p w14:paraId="5BE1B766" w14:textId="77777777" w:rsidR="00A76D84" w:rsidRPr="00F86091" w:rsidRDefault="003B3911" w:rsidP="00A76D84">
      <w:pPr>
        <w:rPr>
          <w:noProof/>
        </w:rPr>
      </w:pPr>
      <w:r w:rsidRPr="00F86091">
        <w:rPr>
          <w:rFonts w:eastAsia="Times New Roman"/>
          <w:noProof/>
          <w:color w:val="000000" w:themeColor="text1"/>
          <w:szCs w:val="24"/>
        </w:rPr>
        <w:t>(</w:t>
      </w:r>
      <w:r w:rsidRPr="00F86091">
        <w:rPr>
          <w:rFonts w:eastAsia="Times New Roman"/>
          <w:noProof/>
          <w:color w:val="000000" w:themeColor="text1"/>
          <w:szCs w:val="24"/>
          <w:vertAlign w:val="superscript"/>
        </w:rPr>
        <w:t>6</w:t>
      </w:r>
      <w:r w:rsidRPr="00F86091">
        <w:rPr>
          <w:rFonts w:eastAsia="Times New Roman"/>
          <w:noProof/>
          <w:color w:val="000000" w:themeColor="text1"/>
          <w:szCs w:val="24"/>
        </w:rPr>
        <w:t>)</w:t>
      </w:r>
      <w:r w:rsidRPr="00F86091">
        <w:rPr>
          <w:noProof/>
        </w:rPr>
        <w:tab/>
      </w:r>
      <w:r w:rsidRPr="00F86091">
        <w:rPr>
          <w:rFonts w:eastAsia="Times New Roman"/>
          <w:noProof/>
          <w:color w:val="000000" w:themeColor="text1"/>
          <w:szCs w:val="24"/>
        </w:rPr>
        <w:t>ppm = parts per million by volume in air (ml/m</w:t>
      </w:r>
      <w:r w:rsidRPr="00F86091">
        <w:rPr>
          <w:rFonts w:eastAsia="Times New Roman"/>
          <w:noProof/>
          <w:color w:val="000000" w:themeColor="text1"/>
          <w:szCs w:val="24"/>
          <w:vertAlign w:val="superscript"/>
        </w:rPr>
        <w:t>3</w:t>
      </w:r>
      <w:r w:rsidRPr="00F86091">
        <w:rPr>
          <w:rFonts w:eastAsia="Times New Roman"/>
          <w:noProof/>
          <w:color w:val="000000" w:themeColor="text1"/>
          <w:szCs w:val="24"/>
        </w:rPr>
        <w:t>).</w:t>
      </w:r>
    </w:p>
    <w:p w14:paraId="7D45ABE7" w14:textId="77777777" w:rsidR="00A76D84" w:rsidRPr="00651A0E" w:rsidRDefault="003B3911" w:rsidP="00A76D84">
      <w:pPr>
        <w:rPr>
          <w:noProof/>
          <w:lang w:val="fr-BE"/>
        </w:rPr>
      </w:pPr>
      <w:r w:rsidRPr="00651A0E">
        <w:rPr>
          <w:rFonts w:eastAsia="Times New Roman"/>
          <w:noProof/>
          <w:color w:val="000000" w:themeColor="text1"/>
          <w:lang w:val="fr-BE"/>
        </w:rPr>
        <w:t>(</w:t>
      </w:r>
      <w:r w:rsidRPr="00651A0E">
        <w:rPr>
          <w:rFonts w:eastAsia="Times New Roman"/>
          <w:noProof/>
          <w:color w:val="000000" w:themeColor="text1"/>
          <w:vertAlign w:val="superscript"/>
          <w:lang w:val="fr-BE"/>
        </w:rPr>
        <w:t>7</w:t>
      </w:r>
      <w:r w:rsidRPr="00651A0E">
        <w:rPr>
          <w:rFonts w:eastAsia="Times New Roman"/>
          <w:noProof/>
          <w:color w:val="000000" w:themeColor="text1"/>
          <w:lang w:val="fr-BE"/>
        </w:rPr>
        <w:t>)</w:t>
      </w:r>
      <w:r w:rsidRPr="00651A0E">
        <w:rPr>
          <w:noProof/>
          <w:lang w:val="fr-BE"/>
        </w:rPr>
        <w:tab/>
      </w:r>
      <w:r w:rsidRPr="00651A0E">
        <w:rPr>
          <w:rFonts w:eastAsia="Times New Roman"/>
          <w:noProof/>
          <w:color w:val="000000" w:themeColor="text1"/>
          <w:lang w:val="fr-BE"/>
        </w:rPr>
        <w:t>f/ml = fibres per millilitre.</w:t>
      </w:r>
    </w:p>
    <w:p w14:paraId="74E0B3AD" w14:textId="77777777" w:rsidR="00A76D84" w:rsidRPr="003D6EE6" w:rsidRDefault="003B3911" w:rsidP="00A76D84">
      <w:pPr>
        <w:rPr>
          <w:noProof/>
          <w:lang w:val="en-IE"/>
        </w:rPr>
      </w:pPr>
      <w:bookmarkStart w:id="5" w:name="_Hlk200038994"/>
      <w:r w:rsidRPr="003D6EE6">
        <w:rPr>
          <w:rFonts w:eastAsia="Times New Roman"/>
          <w:noProof/>
          <w:color w:val="000000" w:themeColor="text1"/>
          <w:szCs w:val="24"/>
          <w:lang w:val="en-IE"/>
        </w:rPr>
        <w:t>(</w:t>
      </w:r>
      <w:r w:rsidRPr="003D6EE6">
        <w:rPr>
          <w:rFonts w:eastAsia="Times New Roman"/>
          <w:noProof/>
          <w:color w:val="000000" w:themeColor="text1"/>
          <w:szCs w:val="24"/>
          <w:vertAlign w:val="superscript"/>
          <w:lang w:val="en-IE"/>
        </w:rPr>
        <w:t>9</w:t>
      </w:r>
      <w:r w:rsidRPr="003D6EE6">
        <w:rPr>
          <w:rFonts w:eastAsia="Times New Roman"/>
          <w:noProof/>
          <w:color w:val="000000" w:themeColor="text1"/>
          <w:szCs w:val="24"/>
          <w:lang w:val="en-IE"/>
        </w:rPr>
        <w:t>)</w:t>
      </w:r>
      <w:r w:rsidRPr="003D6EE6">
        <w:rPr>
          <w:noProof/>
          <w:lang w:val="en-IE"/>
        </w:rPr>
        <w:tab/>
      </w:r>
      <w:r w:rsidRPr="003D6EE6">
        <w:rPr>
          <w:rFonts w:eastAsia="Times New Roman"/>
          <w:noProof/>
          <w:color w:val="000000" w:themeColor="text1"/>
          <w:szCs w:val="24"/>
          <w:lang w:val="en-IE"/>
        </w:rPr>
        <w:t>Respirable fraction.</w:t>
      </w:r>
    </w:p>
    <w:p w14:paraId="6B59F04D" w14:textId="77777777" w:rsidR="00A76D84" w:rsidRPr="00F86091" w:rsidRDefault="003B3911" w:rsidP="00A76D84">
      <w:pPr>
        <w:rPr>
          <w:noProof/>
        </w:rPr>
      </w:pPr>
      <w:r w:rsidRPr="00F86091">
        <w:rPr>
          <w:rFonts w:eastAsia="Times New Roman"/>
          <w:noProof/>
          <w:color w:val="000000" w:themeColor="text1"/>
          <w:szCs w:val="24"/>
        </w:rPr>
        <w:t>(</w:t>
      </w:r>
      <w:r w:rsidRPr="00F86091">
        <w:rPr>
          <w:rFonts w:eastAsia="Times New Roman"/>
          <w:noProof/>
          <w:color w:val="000000" w:themeColor="text1"/>
          <w:szCs w:val="24"/>
          <w:vertAlign w:val="superscript"/>
        </w:rPr>
        <w:t>10</w:t>
      </w:r>
      <w:r w:rsidRPr="00F86091">
        <w:rPr>
          <w:rFonts w:eastAsia="Times New Roman"/>
          <w:noProof/>
          <w:color w:val="000000" w:themeColor="text1"/>
          <w:szCs w:val="24"/>
        </w:rPr>
        <w:t>)</w:t>
      </w:r>
      <w:r w:rsidRPr="00F86091">
        <w:rPr>
          <w:noProof/>
        </w:rPr>
        <w:tab/>
      </w:r>
      <w:r w:rsidRPr="00F86091">
        <w:rPr>
          <w:rFonts w:eastAsia="Times New Roman"/>
          <w:noProof/>
          <w:color w:val="000000" w:themeColor="text1"/>
          <w:szCs w:val="24"/>
        </w:rPr>
        <w:t xml:space="preserve">Substantial contribution to the total body burden via dermal exposure </w:t>
      </w:r>
      <w:r w:rsidRPr="00F86091">
        <w:rPr>
          <w:rFonts w:eastAsia="Times New Roman"/>
          <w:noProof/>
          <w:color w:val="000000" w:themeColor="text1"/>
          <w:szCs w:val="24"/>
        </w:rPr>
        <w:t>possible.</w:t>
      </w:r>
    </w:p>
    <w:p w14:paraId="7464AEEF" w14:textId="77777777" w:rsidR="00A76D84" w:rsidRPr="00F86091" w:rsidRDefault="003B3911" w:rsidP="00A76D84">
      <w:pPr>
        <w:rPr>
          <w:noProof/>
        </w:rPr>
      </w:pPr>
      <w:r w:rsidRPr="00F86091">
        <w:rPr>
          <w:rFonts w:eastAsia="Times New Roman"/>
          <w:noProof/>
          <w:color w:val="000000" w:themeColor="text1"/>
          <w:szCs w:val="24"/>
        </w:rPr>
        <w:t>(</w:t>
      </w:r>
      <w:r w:rsidRPr="00F86091">
        <w:rPr>
          <w:rFonts w:eastAsia="Times New Roman"/>
          <w:noProof/>
          <w:color w:val="000000" w:themeColor="text1"/>
          <w:szCs w:val="24"/>
          <w:vertAlign w:val="superscript"/>
        </w:rPr>
        <w:t>11</w:t>
      </w:r>
      <w:r w:rsidRPr="00F86091">
        <w:rPr>
          <w:rFonts w:eastAsia="Times New Roman"/>
          <w:noProof/>
          <w:color w:val="000000" w:themeColor="text1"/>
          <w:szCs w:val="24"/>
        </w:rPr>
        <w:t>)</w:t>
      </w:r>
      <w:r w:rsidRPr="00F86091">
        <w:rPr>
          <w:noProof/>
        </w:rPr>
        <w:tab/>
      </w:r>
      <w:r w:rsidRPr="00F86091">
        <w:rPr>
          <w:rFonts w:eastAsia="Times New Roman"/>
          <w:noProof/>
          <w:color w:val="000000" w:themeColor="text1"/>
          <w:szCs w:val="24"/>
        </w:rPr>
        <w:t>Inhalable fraction</w:t>
      </w:r>
      <w:r w:rsidRPr="00F86091">
        <w:rPr>
          <w:rFonts w:eastAsia="Times New Roman"/>
          <w:i/>
          <w:iCs/>
          <w:noProof/>
          <w:color w:val="000000" w:themeColor="text1"/>
          <w:szCs w:val="24"/>
        </w:rPr>
        <w:t>.</w:t>
      </w:r>
    </w:p>
    <w:bookmarkEnd w:id="5"/>
    <w:p w14:paraId="5597F57E" w14:textId="77777777" w:rsidR="00A76D84" w:rsidRPr="00F86091" w:rsidRDefault="003B3911" w:rsidP="00A76D84">
      <w:pPr>
        <w:rPr>
          <w:noProof/>
        </w:rPr>
      </w:pPr>
      <w:r w:rsidRPr="00F86091">
        <w:rPr>
          <w:rFonts w:eastAsia="Times New Roman"/>
          <w:noProof/>
          <w:color w:val="000000" w:themeColor="text1"/>
          <w:szCs w:val="24"/>
        </w:rPr>
        <w:t>(</w:t>
      </w:r>
      <w:r w:rsidRPr="00F86091">
        <w:rPr>
          <w:rFonts w:eastAsia="Times New Roman"/>
          <w:noProof/>
          <w:color w:val="000000" w:themeColor="text1"/>
          <w:szCs w:val="24"/>
          <w:vertAlign w:val="superscript"/>
        </w:rPr>
        <w:t>13</w:t>
      </w:r>
      <w:r w:rsidRPr="00F86091">
        <w:rPr>
          <w:rFonts w:eastAsia="Times New Roman"/>
          <w:noProof/>
          <w:color w:val="000000" w:themeColor="text1"/>
          <w:szCs w:val="24"/>
        </w:rPr>
        <w:t>)</w:t>
      </w:r>
      <w:r w:rsidRPr="00F86091">
        <w:rPr>
          <w:noProof/>
        </w:rPr>
        <w:tab/>
      </w:r>
      <w:r w:rsidRPr="00F86091">
        <w:rPr>
          <w:rFonts w:eastAsia="Times New Roman"/>
          <w:noProof/>
          <w:color w:val="000000" w:themeColor="text1"/>
          <w:szCs w:val="24"/>
        </w:rPr>
        <w:t>The substance can cause sensitisation of the skin and of the respiratory tract.</w:t>
      </w:r>
    </w:p>
    <w:p w14:paraId="41B1C78D" w14:textId="77777777" w:rsidR="00A76D84" w:rsidRPr="00F86091" w:rsidRDefault="003B3911" w:rsidP="00A76D84">
      <w:pPr>
        <w:spacing w:before="40" w:after="40" w:line="360" w:lineRule="auto"/>
        <w:ind w:left="1418" w:hanging="567"/>
        <w:rPr>
          <w:noProof/>
        </w:rPr>
      </w:pPr>
    </w:p>
    <w:p w14:paraId="5C4151D3" w14:textId="77777777" w:rsidR="00A76D84" w:rsidRPr="00F86091" w:rsidRDefault="003B3911" w:rsidP="00A76D84">
      <w:pPr>
        <w:spacing w:before="40" w:after="40" w:line="360" w:lineRule="auto"/>
        <w:ind w:left="851" w:hanging="851"/>
        <w:rPr>
          <w:noProof/>
        </w:rPr>
      </w:pPr>
      <w:r w:rsidRPr="00F86091">
        <w:rPr>
          <w:rFonts w:eastAsia="Times New Roman"/>
          <w:noProof/>
          <w:szCs w:val="24"/>
        </w:rPr>
        <w:t>(</w:t>
      </w:r>
      <w:r>
        <w:rPr>
          <w:rFonts w:eastAsia="Times New Roman"/>
          <w:noProof/>
          <w:szCs w:val="24"/>
        </w:rPr>
        <w:t>3</w:t>
      </w:r>
      <w:r w:rsidRPr="00F86091">
        <w:rPr>
          <w:rFonts w:eastAsia="Times New Roman"/>
          <w:noProof/>
          <w:szCs w:val="24"/>
        </w:rPr>
        <w:t>)</w:t>
      </w:r>
      <w:r>
        <w:rPr>
          <w:rFonts w:eastAsia="Times New Roman"/>
          <w:noProof/>
          <w:szCs w:val="24"/>
        </w:rPr>
        <w:tab/>
      </w:r>
      <w:r w:rsidRPr="00F86091">
        <w:rPr>
          <w:rFonts w:eastAsia="Times New Roman"/>
          <w:noProof/>
          <w:szCs w:val="24"/>
        </w:rPr>
        <w:t>in Annex IIIa, the following point is added:</w:t>
      </w:r>
    </w:p>
    <w:p w14:paraId="50ECF12E" w14:textId="77777777" w:rsidR="00A76D84" w:rsidRPr="00F86091" w:rsidRDefault="003B3911" w:rsidP="00A76D84">
      <w:pPr>
        <w:spacing w:before="40" w:after="40" w:line="360" w:lineRule="auto"/>
        <w:ind w:left="851" w:hanging="851"/>
        <w:rPr>
          <w:noProof/>
        </w:rPr>
      </w:pPr>
      <w:r w:rsidRPr="00F86091">
        <w:rPr>
          <w:rFonts w:eastAsia="Times New Roman"/>
          <w:noProof/>
          <w:color w:val="000000" w:themeColor="text1"/>
          <w:szCs w:val="24"/>
        </w:rPr>
        <w:t>‘</w:t>
      </w:r>
      <w:r w:rsidRPr="00F86091">
        <w:rPr>
          <w:rFonts w:eastAsia="Times New Roman"/>
          <w:noProof/>
          <w:szCs w:val="24"/>
        </w:rPr>
        <w:t>1,4-dioxane</w:t>
      </w:r>
    </w:p>
    <w:p w14:paraId="2CED5046" w14:textId="77777777" w:rsidR="00A76D84" w:rsidRPr="00F86091" w:rsidRDefault="003B3911" w:rsidP="00A76D84">
      <w:pPr>
        <w:spacing w:before="40" w:after="40" w:line="360" w:lineRule="auto"/>
        <w:ind w:left="851" w:hanging="851"/>
        <w:rPr>
          <w:noProof/>
        </w:rPr>
      </w:pPr>
      <w:r w:rsidRPr="00F86091">
        <w:rPr>
          <w:rFonts w:eastAsia="Times New Roman"/>
          <w:noProof/>
          <w:szCs w:val="24"/>
        </w:rPr>
        <w:t>2. The binding biological limit value is 45</w:t>
      </w:r>
      <w:r>
        <w:rPr>
          <w:rFonts w:eastAsia="Times New Roman"/>
          <w:noProof/>
          <w:szCs w:val="24"/>
        </w:rPr>
        <w:t> </w:t>
      </w:r>
      <w:r w:rsidRPr="00F86091">
        <w:rPr>
          <w:rFonts w:eastAsia="Times New Roman"/>
          <w:noProof/>
          <w:szCs w:val="24"/>
        </w:rPr>
        <w:t>mg HEAA</w:t>
      </w:r>
      <w:r>
        <w:rPr>
          <w:rFonts w:eastAsia="Times New Roman"/>
          <w:noProof/>
          <w:szCs w:val="24"/>
          <w:lang w:val="en-US"/>
        </w:rPr>
        <w:t>*</w:t>
      </w:r>
      <w:r w:rsidRPr="00F86091">
        <w:rPr>
          <w:rFonts w:eastAsia="Times New Roman"/>
          <w:noProof/>
          <w:szCs w:val="24"/>
        </w:rPr>
        <w:t xml:space="preserve">in urine/g </w:t>
      </w:r>
      <w:r w:rsidRPr="00F86091">
        <w:rPr>
          <w:rFonts w:eastAsia="Times New Roman"/>
          <w:noProof/>
          <w:szCs w:val="24"/>
        </w:rPr>
        <w:t>creatinine.</w:t>
      </w:r>
      <w:r w:rsidRPr="00F86091">
        <w:rPr>
          <w:rFonts w:eastAsia="Times New Roman"/>
          <w:noProof/>
          <w:color w:val="000000" w:themeColor="text1"/>
          <w:szCs w:val="24"/>
        </w:rPr>
        <w:t>’</w:t>
      </w:r>
    </w:p>
    <w:p w14:paraId="272D49C0" w14:textId="77777777" w:rsidR="00A76D84" w:rsidRDefault="003B3911" w:rsidP="00A76D84">
      <w:pPr>
        <w:spacing w:before="40" w:after="40" w:line="360" w:lineRule="auto"/>
        <w:ind w:left="851" w:hanging="131"/>
        <w:rPr>
          <w:rFonts w:eastAsia="Times New Roman"/>
          <w:noProof/>
          <w:szCs w:val="24"/>
          <w:lang w:val="en-US"/>
        </w:rPr>
      </w:pPr>
      <w:r>
        <w:rPr>
          <w:rFonts w:eastAsia="Times New Roman"/>
          <w:noProof/>
          <w:szCs w:val="24"/>
          <w:lang w:val="en-US"/>
        </w:rPr>
        <w:t>________________</w:t>
      </w:r>
    </w:p>
    <w:p w14:paraId="0F7306B2" w14:textId="77777777" w:rsidR="00A76D84" w:rsidRPr="00AC7E92" w:rsidRDefault="003B3911" w:rsidP="00A76D84">
      <w:pPr>
        <w:spacing w:before="40" w:after="40" w:line="360" w:lineRule="auto"/>
        <w:ind w:left="851" w:hanging="131"/>
        <w:rPr>
          <w:noProof/>
        </w:rPr>
      </w:pPr>
      <w:r w:rsidRPr="00CA3375">
        <w:rPr>
          <w:rFonts w:eastAsia="Times New Roman"/>
          <w:noProof/>
          <w:color w:val="000000" w:themeColor="text1"/>
          <w:sz w:val="20"/>
          <w:szCs w:val="20"/>
        </w:rPr>
        <w:t>*(2-Hydroxyethoxy)acetic acid</w:t>
      </w:r>
      <w:r w:rsidRPr="449BDA64">
        <w:rPr>
          <w:rFonts w:eastAsia="Times New Roman"/>
          <w:noProof/>
          <w:color w:val="000000" w:themeColor="text1"/>
          <w:szCs w:val="24"/>
        </w:rPr>
        <w:t>’</w:t>
      </w:r>
      <w:r>
        <w:rPr>
          <w:rFonts w:eastAsia="Times New Roman"/>
          <w:noProof/>
          <w:color w:val="000000" w:themeColor="text1"/>
          <w:szCs w:val="24"/>
        </w:rPr>
        <w:t>.</w:t>
      </w:r>
    </w:p>
    <w:p w14:paraId="4AD49A21" w14:textId="77777777" w:rsidR="00A76D84" w:rsidRPr="00F86091" w:rsidRDefault="003B3911" w:rsidP="00A76D84">
      <w:pPr>
        <w:spacing w:before="0" w:after="0"/>
        <w:rPr>
          <w:noProof/>
        </w:rPr>
      </w:pPr>
    </w:p>
    <w:sectPr w:rsidR="00A76D84" w:rsidRPr="00F86091" w:rsidSect="0018335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28B7" w14:textId="77777777" w:rsidR="00144FF1" w:rsidRDefault="00144FF1" w:rsidP="00A43C50">
      <w:r>
        <w:separator/>
      </w:r>
    </w:p>
  </w:endnote>
  <w:endnote w:type="continuationSeparator" w:id="0">
    <w:p w14:paraId="72356495" w14:textId="77777777" w:rsidR="00144FF1" w:rsidRDefault="00144FF1" w:rsidP="00A4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New Roman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CC73" w14:textId="77777777" w:rsidR="00A43C50" w:rsidRDefault="00A43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1"/>
      <w:gridCol w:w="1400"/>
      <w:gridCol w:w="1205"/>
      <w:gridCol w:w="200"/>
      <w:gridCol w:w="1430"/>
      <w:gridCol w:w="848"/>
      <w:gridCol w:w="1135"/>
    </w:tblGrid>
    <w:tr w:rsidR="004F54B2" w:rsidRPr="00D94637" w14:paraId="3111659A" w14:textId="77777777" w:rsidTr="00D9463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14:paraId="4C4FEBAF" w14:textId="77777777" w:rsidR="004F54B2" w:rsidRPr="00D94637" w:rsidRDefault="003B391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F54B2" w:rsidRPr="00B310DC" w14:paraId="6C460822" w14:textId="77777777" w:rsidTr="00842D7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14:paraId="0373944C" w14:textId="77777777" w:rsidR="004F54B2" w:rsidRPr="00AD7BF2" w:rsidRDefault="003B3911" w:rsidP="004F54B2">
          <w:pPr>
            <w:pStyle w:val="FooterText"/>
          </w:pPr>
          <w:r>
            <w:t>11823</w:t>
          </w:r>
          <w:r>
            <w:t>/</w:t>
          </w:r>
          <w:r>
            <w:t>25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14:paraId="040CE8CD" w14:textId="77777777" w:rsidR="004F54B2" w:rsidRPr="00AD7BF2" w:rsidRDefault="003B3911" w:rsidP="00D94637">
          <w:pPr>
            <w:pStyle w:val="FooterText"/>
            <w:jc w:val="center"/>
          </w:pPr>
        </w:p>
      </w:tc>
      <w:tc>
        <w:tcPr>
          <w:tcW w:w="1286" w:type="pct"/>
          <w:gridSpan w:val="3"/>
          <w:shd w:val="clear" w:color="auto" w:fill="auto"/>
          <w:tcMar>
            <w:top w:w="0" w:type="dxa"/>
          </w:tcMar>
        </w:tcPr>
        <w:p w14:paraId="7E4BB4FE" w14:textId="77777777" w:rsidR="004F54B2" w:rsidRPr="002511D8" w:rsidRDefault="003B3911" w:rsidP="00D94637">
          <w:pPr>
            <w:pStyle w:val="FooterText"/>
            <w:jc w:val="center"/>
          </w:pPr>
        </w:p>
      </w:tc>
      <w:tc>
        <w:tcPr>
          <w:tcW w:w="589" w:type="pct"/>
          <w:shd w:val="clear" w:color="auto" w:fill="auto"/>
          <w:tcMar>
            <w:top w:w="0" w:type="dxa"/>
          </w:tcMar>
        </w:tcPr>
        <w:p w14:paraId="396B8124" w14:textId="77777777" w:rsidR="004F54B2" w:rsidRPr="00B310DC" w:rsidRDefault="003B391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4F54B2" w:rsidRPr="00D94637" w14:paraId="18A202AC" w14:textId="77777777" w:rsidTr="00430704">
      <w:trPr>
        <w:jc w:val="center"/>
      </w:trPr>
      <w:tc>
        <w:tcPr>
          <w:tcW w:w="1774" w:type="pct"/>
          <w:shd w:val="clear" w:color="auto" w:fill="auto"/>
        </w:tcPr>
        <w:p w14:paraId="55B2FA2F" w14:textId="77777777" w:rsidR="004F54B2" w:rsidRPr="00AD7BF2" w:rsidRDefault="003B391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14:paraId="4E34C466" w14:textId="77777777" w:rsidR="004F54B2" w:rsidRPr="00AD7BF2" w:rsidRDefault="003B3911" w:rsidP="00D204D6">
          <w:pPr>
            <w:pStyle w:val="FooterText"/>
            <w:spacing w:before="40"/>
            <w:jc w:val="center"/>
          </w:pPr>
          <w:r>
            <w:t>LIFE.4</w:t>
          </w:r>
        </w:p>
      </w:tc>
      <w:tc>
        <w:tcPr>
          <w:tcW w:w="742" w:type="pct"/>
          <w:shd w:val="clear" w:color="auto" w:fill="auto"/>
        </w:tcPr>
        <w:p w14:paraId="595F6966" w14:textId="77777777" w:rsidR="004F54B2" w:rsidRPr="00D94637" w:rsidRDefault="003B3911" w:rsidP="002F0099">
          <w:pPr>
            <w:pStyle w:val="FooterText"/>
            <w:jc w:val="center"/>
            <w:rPr>
              <w:b/>
              <w:position w:val="-4"/>
              <w:sz w:val="36"/>
            </w:rPr>
          </w:pPr>
        </w:p>
      </w:tc>
      <w:tc>
        <w:tcPr>
          <w:tcW w:w="1029" w:type="pct"/>
          <w:gridSpan w:val="2"/>
          <w:shd w:val="clear" w:color="auto" w:fill="auto"/>
        </w:tcPr>
        <w:p w14:paraId="3C5B60EC" w14:textId="77777777" w:rsidR="004F54B2" w:rsidRPr="00695BAF" w:rsidRDefault="003B3911" w:rsidP="00D94637">
          <w:pPr>
            <w:pStyle w:val="FooterText"/>
            <w:jc w:val="right"/>
            <w:rPr>
              <w:caps/>
              <w:spacing w:val="-20"/>
              <w:sz w:val="16"/>
            </w:rPr>
          </w:pPr>
          <w:r>
            <w:rPr>
              <w:b/>
              <w:caps/>
              <w:spacing w:val="-20"/>
              <w:position w:val="-4"/>
              <w:sz w:val="36"/>
            </w:rPr>
            <w:t>EN</w:t>
          </w:r>
        </w:p>
      </w:tc>
    </w:tr>
  </w:tbl>
  <w:p w14:paraId="1A4D3829" w14:textId="77777777" w:rsidR="00E2031A" w:rsidRDefault="00E2031A">
    <w:pPr>
      <w:pStyle w:val="FooterCounci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1"/>
      <w:gridCol w:w="1400"/>
      <w:gridCol w:w="1205"/>
      <w:gridCol w:w="200"/>
      <w:gridCol w:w="1430"/>
      <w:gridCol w:w="848"/>
      <w:gridCol w:w="1135"/>
    </w:tblGrid>
    <w:tr w:rsidR="004F54B2" w:rsidRPr="00D94637" w14:paraId="06905A83" w14:textId="77777777" w:rsidTr="00D9463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14:paraId="2632D133" w14:textId="77777777" w:rsidR="004F54B2" w:rsidRPr="00D94637" w:rsidRDefault="003B391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1" w:name="FOOTER_STANDARD"/>
        </w:p>
      </w:tc>
    </w:tr>
    <w:tr w:rsidR="004F54B2" w:rsidRPr="00B310DC" w14:paraId="35EB9514" w14:textId="77777777" w:rsidTr="00842D7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14:paraId="6AED03EB" w14:textId="77777777" w:rsidR="004F54B2" w:rsidRPr="00AD7BF2" w:rsidRDefault="003B3911" w:rsidP="004F54B2">
          <w:pPr>
            <w:pStyle w:val="FooterText"/>
          </w:pPr>
          <w:r>
            <w:t>11823</w:t>
          </w:r>
          <w:r>
            <w:t>/</w:t>
          </w:r>
          <w:r>
            <w:t>25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14:paraId="21BC2E48" w14:textId="77777777" w:rsidR="004F54B2" w:rsidRPr="00AD7BF2" w:rsidRDefault="003B3911" w:rsidP="00D94637">
          <w:pPr>
            <w:pStyle w:val="FooterText"/>
            <w:jc w:val="center"/>
          </w:pPr>
        </w:p>
      </w:tc>
      <w:tc>
        <w:tcPr>
          <w:tcW w:w="1286" w:type="pct"/>
          <w:gridSpan w:val="3"/>
          <w:shd w:val="clear" w:color="auto" w:fill="auto"/>
          <w:tcMar>
            <w:top w:w="0" w:type="dxa"/>
          </w:tcMar>
        </w:tcPr>
        <w:p w14:paraId="4B4846D0" w14:textId="77777777" w:rsidR="004F54B2" w:rsidRPr="002511D8" w:rsidRDefault="003B3911" w:rsidP="00D94637">
          <w:pPr>
            <w:pStyle w:val="FooterText"/>
            <w:jc w:val="center"/>
          </w:pPr>
        </w:p>
      </w:tc>
      <w:tc>
        <w:tcPr>
          <w:tcW w:w="589" w:type="pct"/>
          <w:shd w:val="clear" w:color="auto" w:fill="auto"/>
          <w:tcMar>
            <w:top w:w="0" w:type="dxa"/>
          </w:tcMar>
        </w:tcPr>
        <w:p w14:paraId="2ED17E6B" w14:textId="77777777" w:rsidR="004F54B2" w:rsidRPr="00B310DC" w:rsidRDefault="003B3911" w:rsidP="00D94637">
          <w:pPr>
            <w:pStyle w:val="FooterText"/>
            <w:jc w:val="right"/>
          </w:pPr>
        </w:p>
      </w:tc>
    </w:tr>
    <w:tr w:rsidR="004F54B2" w:rsidRPr="00D94637" w14:paraId="21785403" w14:textId="77777777" w:rsidTr="00430704">
      <w:trPr>
        <w:jc w:val="center"/>
      </w:trPr>
      <w:tc>
        <w:tcPr>
          <w:tcW w:w="1774" w:type="pct"/>
          <w:shd w:val="clear" w:color="auto" w:fill="auto"/>
        </w:tcPr>
        <w:p w14:paraId="29C301AD" w14:textId="77777777" w:rsidR="004F54B2" w:rsidRPr="00AD7BF2" w:rsidRDefault="003B391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14:paraId="3924026B" w14:textId="77777777" w:rsidR="004F54B2" w:rsidRPr="00AD7BF2" w:rsidRDefault="003B3911" w:rsidP="00D204D6">
          <w:pPr>
            <w:pStyle w:val="FooterText"/>
            <w:spacing w:before="40"/>
            <w:jc w:val="center"/>
          </w:pPr>
          <w:r>
            <w:t>LIFE.4</w:t>
          </w:r>
        </w:p>
      </w:tc>
      <w:tc>
        <w:tcPr>
          <w:tcW w:w="742" w:type="pct"/>
          <w:shd w:val="clear" w:color="auto" w:fill="auto"/>
        </w:tcPr>
        <w:p w14:paraId="357DA208" w14:textId="77777777" w:rsidR="004F54B2" w:rsidRPr="00D94637" w:rsidRDefault="003B3911" w:rsidP="002F0099">
          <w:pPr>
            <w:pStyle w:val="FooterText"/>
            <w:jc w:val="center"/>
            <w:rPr>
              <w:b/>
              <w:position w:val="-4"/>
              <w:sz w:val="36"/>
            </w:rPr>
          </w:pPr>
        </w:p>
      </w:tc>
      <w:tc>
        <w:tcPr>
          <w:tcW w:w="1029" w:type="pct"/>
          <w:gridSpan w:val="2"/>
          <w:shd w:val="clear" w:color="auto" w:fill="auto"/>
        </w:tcPr>
        <w:p w14:paraId="2FBDDA9C" w14:textId="77777777" w:rsidR="004F54B2" w:rsidRPr="00695BAF" w:rsidRDefault="003B3911" w:rsidP="00D94637">
          <w:pPr>
            <w:pStyle w:val="FooterText"/>
            <w:jc w:val="right"/>
            <w:rPr>
              <w:caps/>
              <w:spacing w:val="-20"/>
              <w:sz w:val="16"/>
            </w:rPr>
          </w:pPr>
          <w:r>
            <w:rPr>
              <w:b/>
              <w:caps/>
              <w:spacing w:val="-20"/>
              <w:position w:val="-4"/>
              <w:sz w:val="36"/>
            </w:rPr>
            <w:t>EN</w:t>
          </w:r>
        </w:p>
      </w:tc>
    </w:tr>
    <w:bookmarkEnd w:id="1"/>
  </w:tbl>
  <w:p w14:paraId="203BB98E" w14:textId="77777777" w:rsidR="00E2031A" w:rsidRDefault="00E2031A">
    <w:pPr>
      <w:pStyle w:val="FooterCouncil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9F4D" w14:textId="77777777" w:rsidR="00183352" w:rsidRPr="00183352" w:rsidRDefault="003B3911" w:rsidP="00183352">
    <w:pPr>
      <w:pStyle w:val="Footer"/>
      <w:rPr>
        <w:rFonts w:ascii="Arial" w:hAnsi="Arial" w:cs="Arial"/>
        <w:b/>
        <w:sz w:val="48"/>
      </w:rPr>
    </w:pPr>
    <w:r w:rsidRPr="00183352">
      <w:rPr>
        <w:rFonts w:ascii="Arial" w:hAnsi="Arial" w:cs="Arial"/>
        <w:b/>
        <w:sz w:val="48"/>
      </w:rPr>
      <w:t>EN</w:t>
    </w:r>
    <w:r w:rsidRPr="00183352">
      <w:rPr>
        <w:rFonts w:ascii="Arial" w:hAnsi="Arial" w:cs="Arial"/>
        <w:b/>
        <w:sz w:val="48"/>
      </w:rPr>
      <w:tab/>
    </w:r>
    <w:r w:rsidRPr="00183352">
      <w:rPr>
        <w:rFonts w:ascii="Arial" w:hAnsi="Arial" w:cs="Arial"/>
        <w:b/>
        <w:sz w:val="48"/>
      </w:rPr>
      <w:tab/>
    </w:r>
    <w:r w:rsidRPr="00183352">
      <w:tab/>
    </w:r>
    <w:r w:rsidRPr="00183352"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E92E" w14:textId="77777777" w:rsidR="00183352" w:rsidRPr="00183352" w:rsidRDefault="003B3911" w:rsidP="00183352">
    <w:pPr>
      <w:pStyle w:val="Footer"/>
      <w:rPr>
        <w:rFonts w:ascii="Arial" w:hAnsi="Arial" w:cs="Arial"/>
        <w:b/>
        <w:sz w:val="48"/>
      </w:rPr>
    </w:pPr>
    <w:r w:rsidRPr="00183352">
      <w:rPr>
        <w:rFonts w:ascii="Arial" w:hAnsi="Arial" w:cs="Arial"/>
        <w:b/>
        <w:sz w:val="48"/>
      </w:rPr>
      <w:t>EN</w:t>
    </w:r>
    <w:r w:rsidRPr="00183352">
      <w:rPr>
        <w:rFonts w:ascii="Arial" w:hAnsi="Arial" w:cs="Arial"/>
        <w:b/>
        <w:sz w:val="48"/>
      </w:rPr>
      <w:tab/>
    </w:r>
    <w:r w:rsidRPr="00183352">
      <w:rPr>
        <w:rFonts w:ascii="Arial" w:hAnsi="Arial" w:cs="Arial"/>
        <w:b/>
        <w:sz w:val="48"/>
      </w:rPr>
      <w:tab/>
    </w:r>
    <w:r w:rsidRPr="00183352">
      <w:tab/>
    </w:r>
    <w:r w:rsidRPr="00183352">
      <w:rPr>
        <w:rFonts w:ascii="Arial" w:hAnsi="Arial" w:cs="Arial"/>
        <w:b/>
        <w:sz w:val="48"/>
      </w:rPr>
      <w:t>EN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472A" w14:textId="77777777" w:rsidR="00183352" w:rsidRPr="00183352" w:rsidRDefault="003B3911" w:rsidP="0018335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C409" w14:textId="77777777" w:rsidR="00183352" w:rsidRDefault="003B3911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6AE8" w14:textId="77777777" w:rsidR="00183352" w:rsidRPr="00183352" w:rsidRDefault="003B3911" w:rsidP="00183352">
    <w:pPr>
      <w:pStyle w:val="Footer"/>
      <w:rPr>
        <w:rFonts w:ascii="Arial" w:hAnsi="Arial" w:cs="Arial"/>
        <w:b/>
        <w:sz w:val="48"/>
      </w:rPr>
    </w:pPr>
    <w:r w:rsidRPr="00183352">
      <w:rPr>
        <w:rFonts w:ascii="Arial" w:hAnsi="Arial" w:cs="Arial"/>
        <w:b/>
        <w:sz w:val="48"/>
      </w:rPr>
      <w:t>EN</w:t>
    </w:r>
    <w:r w:rsidRPr="0018335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183352">
      <w:tab/>
    </w:r>
    <w:r w:rsidRPr="00183352">
      <w:rPr>
        <w:rFonts w:ascii="Arial" w:hAnsi="Arial" w:cs="Arial"/>
        <w:b/>
        <w:sz w:val="48"/>
      </w:rPr>
      <w:t>EN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4737" w14:textId="77777777" w:rsidR="00183352" w:rsidRDefault="003B3911" w:rsidP="00183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37121" w14:textId="77777777" w:rsidR="00A76D84" w:rsidRDefault="003B3911" w:rsidP="00A76D84">
      <w:pPr>
        <w:spacing w:before="0" w:after="0"/>
      </w:pPr>
      <w:r>
        <w:separator/>
      </w:r>
    </w:p>
  </w:footnote>
  <w:footnote w:type="continuationSeparator" w:id="0">
    <w:p w14:paraId="23BE427A" w14:textId="77777777" w:rsidR="00A76D84" w:rsidRDefault="003B3911" w:rsidP="00A76D84">
      <w:pPr>
        <w:spacing w:before="0" w:after="0"/>
      </w:pPr>
      <w:r>
        <w:continuationSeparator/>
      </w:r>
    </w:p>
  </w:footnote>
  <w:footnote w:id="1">
    <w:p w14:paraId="5F5565A8" w14:textId="77777777" w:rsidR="00A76D84" w:rsidRPr="003D6EE6" w:rsidRDefault="003B3911" w:rsidP="00A76D84">
      <w:pPr>
        <w:pStyle w:val="FootnoteText"/>
        <w:ind w:left="57" w:right="57" w:hanging="170"/>
        <w:rPr>
          <w:lang w:val="en-IE"/>
        </w:rPr>
      </w:pPr>
      <w:r w:rsidRPr="00804B58">
        <w:rPr>
          <w:rStyle w:val="FootnoteReference"/>
        </w:rPr>
        <w:footnoteRef/>
      </w:r>
      <w:r>
        <w:tab/>
      </w:r>
      <w:r w:rsidRPr="000D3702">
        <w:t xml:space="preserve">Exposure shall not exceed the limit value of a carcinogen, mutagen or a reprotoxic substance as set out in Annex III when those </w:t>
      </w:r>
      <w:r w:rsidRPr="000D3702">
        <w:t>substances are released during the welding process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098F" w14:textId="77777777" w:rsidR="00A43C50" w:rsidRDefault="00A43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DF74" w14:textId="77777777" w:rsidR="00E2031A" w:rsidRDefault="003B3911">
    <w:pPr>
      <w:pStyle w:val="HeaderCouncilLarge"/>
    </w:pPr>
    <w: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0E7" w14:textId="77777777" w:rsidR="00E2031A" w:rsidRDefault="003B3911">
    <w:pPr>
      <w:pStyle w:val="HeaderCouncil"/>
    </w:pPr>
    <w:r>
      <w:t>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3FDA" w14:textId="77777777" w:rsidR="00183352" w:rsidRPr="00183352" w:rsidRDefault="003B3911" w:rsidP="0018335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27E0" w14:textId="77777777" w:rsidR="00183352" w:rsidRPr="00183352" w:rsidRDefault="003B3911" w:rsidP="0018335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6CB0" w14:textId="77777777" w:rsidR="00183352" w:rsidRPr="00183352" w:rsidRDefault="003B3911" w:rsidP="0018335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AD0A" w14:textId="77777777" w:rsidR="00183352" w:rsidRDefault="003B391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B0D3" w14:textId="77777777" w:rsidR="00183352" w:rsidRPr="00183352" w:rsidRDefault="003B3911" w:rsidP="00183352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5BA6" w14:textId="77777777" w:rsidR="00183352" w:rsidRDefault="003B39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04CBDF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D6E41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B924F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14AD3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7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1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3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4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8"/>
  </w:num>
  <w:num w:numId="8">
    <w:abstractNumId w:val="17"/>
  </w:num>
  <w:num w:numId="9">
    <w:abstractNumId w:val="7"/>
  </w:num>
  <w:num w:numId="10">
    <w:abstractNumId w:val="9"/>
  </w:num>
  <w:num w:numId="11">
    <w:abstractNumId w:val="10"/>
  </w:num>
  <w:num w:numId="12">
    <w:abstractNumId w:val="5"/>
  </w:num>
  <w:num w:numId="13">
    <w:abstractNumId w:val="4"/>
  </w:num>
  <w:num w:numId="14">
    <w:abstractNumId w:val="11"/>
  </w:num>
  <w:num w:numId="15">
    <w:abstractNumId w:val="13"/>
  </w:num>
  <w:num w:numId="16">
    <w:abstractNumId w:val="14"/>
  </w:num>
  <w:num w:numId="17">
    <w:abstractNumId w:val="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uncil" w:val="true"/>
    <w:docVar w:name="CoverPageOnWordDoc" w:val="false"/>
    <w:docVar w:name="CR_RefLast" w:val="0"/>
    <w:docVar w:name="DocuWriteMetaData" w:val="&lt;metadataset docuwriteversion=&quot;4.12.1&quot; technicalblockguid=&quot;5568692986073102431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CustomFootnote&quot;&gt;_x000d__x000a_    &lt;text&gt;&lt;/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GName&quot; /&gt;_x000d__x000a_  &lt;metadata key=&quot;md_ContributingServic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25-07-18&lt;/text&gt;_x000d__x000a_  &lt;/metadata&gt;_x000d__x000a_  &lt;metadata key=&quot;md_Prefix&quot;&gt;_x000d__x000a_    &lt;text&gt;&lt;/text&gt;_x000d__x000a_  &lt;/metadata&gt;_x000d__x000a_  &lt;metadata key=&quot;md_DocumentNumber&quot;&gt;_x000d__x000a_    &lt;text&gt;11823&lt;/text&gt;_x000d__x000a_  &lt;/metadata&gt;_x000d__x000a_  &lt;metadata key=&quot;md_YearDocumentNumber&quot;&gt;_x000d__x000a_    &lt;text&gt;2025&lt;/text&gt;_x000d__x000a_  &lt;/metadata&gt;_x000d__x000a_  &lt;metadata key=&quot;md_Suffixes&quot;&gt;_x000d__x000a_    &lt;text&gt;ADD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SOC 538&lt;/text&gt;_x000d__x000a_      &lt;text&gt;EMPL 365&lt;/text&gt;_x000d__x000a_      &lt;text&gt;SAN 483&lt;/text&gt;_x000d__x000a_      &lt;text&gt;CODEC 1058&lt;/text&gt;_x000d__x000a_      &lt;text&gt;IA 95&lt;/text&gt;_x000d__x000a_    &lt;/textlist&gt;_x000d__x000a_  &lt;/metadata&gt;_x000d__x000a_  &lt;metadata key=&quot;md_ThirdPartyDistributionMarkers&quot;&gt;_x000d__x000a_    &lt;textlist /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&gt;_x000d__x000a_    &lt;text&gt;&lt;/text&gt;_x000d__x000a_  &lt;/metadata&gt;_x000d__x000a_  &lt;metadata key=&quot;md_CouncilConfiguration&quot; /&gt;_x000d__x000a_  &lt;metadata key=&quot;md_CouncilIssue&quot; /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25/0232 (COD)&lt;/text&gt;_x000d__x000a_    &lt;/textlist&gt;_x000d__x000a_  &lt;/metadata&gt;_x000d__x000a_  &lt;metadata key=&quot;md_AdditionalReferences&quot;&gt;_x000d__x000a_    &lt;textlist&gt;_x000d__x000a_      &lt;text&gt;&lt;/text&gt;_x000d__x000a_    &lt;/textlist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DraftVersion&quot;&gt;_x000d__x000a_    &lt;text&gt;&lt;/text&gt;_x000d__x000a_  &lt;/metadata&gt;_x000d__x000a_  &lt;metadata key=&quot;md_Originator&quot;&gt;_x000d__x000a_    &lt;basicdatatype&gt;_x000d__x000a_      &lt;originator key=&quot;or_33&quot; text=&quot;Secretary-General of the European Commission, signed by Ms Martine DEPREZ, Director&quot; /&gt;_x000d__x000a_    &lt;/basicdatatype&gt;_x000d__x000a_  &lt;/metadata&gt;_x000d__x000a_  &lt;metadata key=&quot;md_Recipient&quot;&gt;_x000d__x000a_    &lt;basicdatatype&gt;_x000d__x000a_      &lt;recipient key=&quot;re_47&quot; text=&quot;Ms Thérèse BLANCHET, Secretary-General of the Council of the European Union&quot; /&gt;_x000d__x000a_    &lt;/basicdatatype&gt;_x000d__x000a_  &lt;/metadata&gt;_x000d__x000a_  &lt;metadata key=&quot;md_DateOfReceipt&quot;&gt;_x000d__x000a_    &lt;text&gt;2025-07-18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&gt;_x000d__x000a_      &lt;text&gt;COM(2025) 418 annex&lt;/text&gt;_x000d__x000a_    &lt;/textlist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DateFormatOr&quot;&gt;_x000d__x000a_    &lt;text&gt;&lt;/text&gt;_x000d__x000a_  &lt;/metadata&gt;_x000d__x000a_  &lt;metadata key=&quot;md_MeetingInformation&quot; /&gt;_x000d__x000a_  &lt;metadata key=&quot;md_Item&quot; /&gt;_x000d__x000a_  &lt;metadata key=&quot;md_SubjectPrefix&quot; /&gt;_x000d__x000a_  &lt;metadata key=&quot;md_Subject&quot;&gt;_x000d__x000a_    &lt;xaml text=&quot;ANNEX to the Proposal for a Directive of the European Parliament and of the Council amending Directive 2004/37/EC as regards the addition of substances and setting limit values in its Annexes I, III and IIIa&quot;&gt;&amp;lt;FlowDocument xmlns=&quot;http://schemas.microsoft.com/winfx/2006/xaml/presentation&quot;&amp;gt;&amp;lt;Paragraph&amp;gt;ANNEX to the Proposal for a Directive of the European Parliament and of the Council amending Directive 2004/37/EC as regards the addition of substances and setting limit values in its Annexes I, III and IIIa&amp;lt;/Paragraph&amp;gt;&amp;lt;/FlowDocument&amp;gt;&lt;/xaml&gt;_x000d__x000a_  &lt;/metadata&gt;_x000d__x000a_  &lt;metadata key=&quot;md_SubjectFootnote&quot;&gt;_x000d__x000a_    &lt;text&gt;&lt;/text&gt;_x000d__x000a_  &lt;/metadata&gt;_x000d__x000a_  &lt;metadata key=&quot;md_DG&quot;&gt;_x000d__x000a_    &lt;text&gt;LIFE.4&lt;/text&gt;_x000d__x000a_  &lt;/metadata&gt;_x000d__x000a_  &lt;metadata key=&quot;md_Initials&quot;&gt;_x000d__x000a_    &lt;text&gt;&lt;/text&gt;_x000d__x000a_  &lt;/metadata&gt;_x000d__x000a_  &lt;metadata key=&quot;md_SensitivityLabel&quot;&gt;_x000d__x000a_    &lt;basicdatatype&gt;_x000d__x000a_      &lt;sensitivity_label key=&quot;senslabel_01&quot; text=&quot;PUBLIC&quot; labelid=&quot;af60b174-6478-47f9-866e-33f097bb6603&quot; siteid=&quot;03ad1c97-0a4d-4e82-8f93-27291a6a0767&quot; isdefault=&quot;false&quot; /&gt;_x000d__x000a_    &lt;/basicdatatype&gt;_x000d__x000a_  &lt;/metadata&gt;_x000d__x000a_  &lt;metadata key=&quot;md_RectifProcedureType&quot; /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/&gt;_x000d__x000a_  &lt;metadata key=&quot;md_Rectif_Source1_DocumentType&quot; /&gt;_x000d__x000a_  &lt;metadata key=&quot;md_Rectif_Source1_DocumentNumber&quot; /&gt;_x000d__x000a_  &lt;metadata key=&quot;md_Rectif_Source1_YearDocumentNumber&quot; /&gt;_x000d__x000a_  &lt;metadata key=&quot;md_Rectif_Source1_Suffixes&quot; /&gt;_x000d__x000a_  &lt;metadata key=&quot;md_Rectif_Source2_UniqueHeading&quot; /&gt;_x000d__x000a_  &lt;metadata key=&quot;md_Rectif_Source2_DocumentType&quot; /&gt;_x000d__x000a_  &lt;metadata key=&quot;md_Rectif_Source2_DocumentNumber&quot; /&gt;_x000d__x000a_  &lt;metadata key=&quot;md_Rectif_Source2_YearDocumentNumber&quot; /&gt;_x000d__x000a_  &lt;metadata key=&quot;md_Rectif_Source2_Suffixes&quot; /&gt;_x000d__x000a_  &lt;metadata key=&quot;md_CoverPageDocWithCouncilFooter&quot;&gt;_x000d__x000a_    &lt;text&gt;false&lt;/text&gt;_x000d__x000a_  &lt;/metadata&gt;_x000d__x000a_  &lt;metadata key=&quot;md_SourceDocLanguage&quot; /&gt;_x000d__x000a_  &lt;metadata key=&quot;md_SourceDocType&quot; /&gt;_x000d__x000a_  &lt;metadata key=&quot;md_SourceDocTitle&quot; /&gt;_x000d__x000a_  &lt;metadata key=&quot;md_SourceDocIsCECDoc&quot;&gt;_x000d__x000a_    &lt;text&gt;true&lt;/text&gt;_x000d__x000a_  &lt;/metadata&gt;_x000d__x000a_  &lt;metadata key=&quot;md_NB1&quot; /&gt;_x000d__x000a_  &lt;metadata key=&quot;md_NB2&quot; /&gt;_x000d__x000a_  &lt;metadata key=&quot;md_NB3&quot; /&gt;_x000d__x000a_  &lt;metadata key=&quot;md_NB4&quot; /&gt;_x000d__x000a_  &lt;metadata key=&quot;md_NB5&quot; /&gt;_x000d__x000a_  &lt;metadata key=&quot;md_CustomNB&quot; /&gt;_x000d__x000a_  &lt;metadata key=&quot;md_Meetings&quot;&gt;_x000d__x000a_    &lt;meetings /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  &lt;metadata key=&quot;md_InstFrSubWordmark&quot;&gt;_x000d__x000a_    &lt;xaml text=&quot;&quot;&gt;&amp;lt;FlowDocument xmlns=&quot;http://schemas.microsoft.com/winfx/2006/xaml/presentation&quot;&amp;gt;&amp;lt;Paragraph&amp;gt;&amp;lt;/Paragraph&amp;gt;&amp;lt;/FlowDocument&amp;gt;&lt;/xaml&gt;_x000d__x000a_  &lt;/metadata&gt;_x000d__x000a_  &lt;metadata key=&quot;md_WorkflowLinkStatus&quot; /&gt;_x000d__x000a_  &lt;metadata key=&quot;md_eAgendaLinkStatus&quot; /&gt;_x000d__x000a_  &lt;metadata key=&quot;md_Caveat&quot; /&gt;_x000d__x000a_  &lt;metadata key=&quot;md_TechnicalKey&quot; /&gt;_x000d__x000a_&lt;/metadataset&gt;"/>
    <w:docVar w:name="DQCDateTime" w:val="2025-07-12 18:04:25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02AAA7D-8553-442B-8F67-8E96054DAA92"/>
    <w:docVar w:name="LW_COVERPAGE_TYPE" w:val="1"/>
    <w:docVar w:name="LW_CreatedUtc" w:val="2025-07-11T13:01:03.8478916Z"/>
    <w:docVar w:name="LW_CROSSREFERENCE" w:val="{SEC(2025) 217 final} - {SWD(2025) 191 final} - {SWD(2025) 192 final} - {SWD(2025) 193 final}"/>
    <w:docVar w:name="LW_DocType" w:val="ANNEX"/>
    <w:docVar w:name="LW_EMISSION" w:val="18.7.2025"/>
    <w:docVar w:name="LW_EMISSION_ISODATE" w:val="2025-07-18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 Directive 2004/37/EC as regards the addition of substances and setting limit values in its Annexes I, III and IIIa_x000d__x000d__x000b__x000d__x000d__x000d__x000b_"/>
    <w:docVar w:name="LW_OBJETACTEPRINCIPAL.CP" w:val="amending Directive 2004/37/EC as regards the addition of substances and setting limit values in its Annexes I, III and IIIa_x000d__x000d__x000b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5) 418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DIRECTIVE OF THE EUROPEAN PARLIAMENT AND OF THE COUNCIL_x000b_"/>
    <w:docVar w:name="LW_TYPEACTEPRINCIPAL.CP" w:val="Proposal for a DIRECTIVE OF THE EUROPEAN PARLIAMENT AND OF THE COUNCIL_x000b_"/>
    <w:docVar w:name="LwApiVersions" w:val="LW4CoDe 1.24.5.0; LW 9.0, Build 20240221"/>
  </w:docVars>
  <w:rsids>
    <w:rsidRoot w:val="00A86151"/>
    <w:rsid w:val="00052D7C"/>
    <w:rsid w:val="00144FF1"/>
    <w:rsid w:val="001C16E9"/>
    <w:rsid w:val="003558E4"/>
    <w:rsid w:val="003B3627"/>
    <w:rsid w:val="003B3911"/>
    <w:rsid w:val="003C184A"/>
    <w:rsid w:val="00443A64"/>
    <w:rsid w:val="0054146C"/>
    <w:rsid w:val="00546796"/>
    <w:rsid w:val="007F499B"/>
    <w:rsid w:val="00854E58"/>
    <w:rsid w:val="00894139"/>
    <w:rsid w:val="00A43C50"/>
    <w:rsid w:val="00A86151"/>
    <w:rsid w:val="00D3039B"/>
    <w:rsid w:val="00D93DFA"/>
    <w:rsid w:val="00E2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B60256"/>
  <w15:chartTrackingRefBased/>
  <w15:docId w15:val="{06B075C0-6990-4042-BE74-F3D5390D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1"/>
      </w:numPr>
      <w:outlineLvl w:val="6"/>
    </w:pPr>
    <w:rPr>
      <w:rFonts w:eastAsiaTheme="majorEastAsia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15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15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A861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1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1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  <w:style w:type="character" w:customStyle="1" w:styleId="TitleChar">
    <w:name w:val="Title Char"/>
    <w:basedOn w:val="DefaultParagraphFont"/>
    <w:link w:val="Title"/>
    <w:uiPriority w:val="10"/>
    <w:rsid w:val="00A86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15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/>
    </w:rPr>
  </w:style>
  <w:style w:type="character" w:customStyle="1" w:styleId="SubtitleChar">
    <w:name w:val="Subtitle Char"/>
    <w:basedOn w:val="DefaultParagraphFont"/>
    <w:link w:val="Subtitle"/>
    <w:uiPriority w:val="11"/>
    <w:rsid w:val="00A86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15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lang/>
    </w:rPr>
  </w:style>
  <w:style w:type="character" w:customStyle="1" w:styleId="QuoteChar">
    <w:name w:val="Quote Char"/>
    <w:basedOn w:val="DefaultParagraphFont"/>
    <w:link w:val="Quote"/>
    <w:uiPriority w:val="29"/>
    <w:rsid w:val="00A861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15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lang/>
    </w:rPr>
  </w:style>
  <w:style w:type="character" w:styleId="IntenseEmphasis">
    <w:name w:val="Intense Emphasis"/>
    <w:basedOn w:val="DefaultParagraphFont"/>
    <w:uiPriority w:val="21"/>
    <w:qFormat/>
    <w:rsid w:val="00A8615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1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365F91" w:themeColor="accent1" w:themeShade="BF"/>
      <w:kern w:val="2"/>
      <w:sz w:val="22"/>
      <w:lang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15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151"/>
    <w:rPr>
      <w:b/>
      <w:bCs/>
      <w:smallCaps/>
      <w:color w:val="365F91" w:themeColor="accent1" w:themeShade="BF"/>
      <w:spacing w:val="5"/>
    </w:rPr>
  </w:style>
  <w:style w:type="paragraph" w:customStyle="1" w:styleId="TechnicalBlockBase">
    <w:name w:val="TechnicalBlockBase"/>
    <w:link w:val="TechnicalBlockBaseChar"/>
    <w:rsid w:val="00894139"/>
    <w:pPr>
      <w:widowControl w:val="0"/>
      <w:spacing w:before="140" w:after="140" w:line="185" w:lineRule="auto"/>
      <w:ind w:left="260" w:right="260"/>
    </w:pPr>
    <w:rPr>
      <w:rFonts w:ascii="Arial New Roman" w:eastAsia="Times New Roman" w:hAnsi="Arial New Roman" w:cs="Arial"/>
      <w:b/>
      <w:i/>
      <w:dstrike/>
      <w:color w:val="606060"/>
      <w:w w:val="98"/>
      <w:sz w:val="10"/>
      <w:szCs w:val="20"/>
      <w:u w:val="words" w:color="606060"/>
      <w:lang w:val="en-GB" w:eastAsia="fr-BE"/>
    </w:rPr>
  </w:style>
  <w:style w:type="character" w:customStyle="1" w:styleId="TechnicalBlockBaseChar">
    <w:name w:val="TechnicalBlockBase Char"/>
    <w:basedOn w:val="EntInstitChar"/>
    <w:link w:val="TechnicalBlockBase"/>
    <w:rsid w:val="00894139"/>
    <w:rPr>
      <w:rFonts w:ascii="Arial New Roman" w:eastAsia="Times New Roman" w:hAnsi="Arial New Roman" w:cs="Arial"/>
      <w:b/>
      <w:i/>
      <w:dstrike/>
      <w:color w:val="606060"/>
      <w:w w:val="98"/>
      <w:kern w:val="0"/>
      <w:sz w:val="10"/>
      <w:szCs w:val="20"/>
      <w:u w:val="words" w:color="606060"/>
      <w:lang w:val="en-GB" w:eastAsia="fr-BE"/>
    </w:rPr>
  </w:style>
  <w:style w:type="paragraph" w:customStyle="1" w:styleId="TBEntRefer">
    <w:name w:val="TBEntRefer"/>
    <w:basedOn w:val="TechnicalBlockBase"/>
    <w:link w:val="EntReferChar"/>
    <w:rsid w:val="00894139"/>
    <w:pPr>
      <w:spacing w:before="0" w:after="0" w:line="240" w:lineRule="auto"/>
      <w:ind w:left="0" w:right="0"/>
    </w:pPr>
    <w:rPr>
      <w:rFonts w:ascii="Arial" w:hAnsi="Arial"/>
      <w:i w:val="0"/>
      <w:dstrike w:val="0"/>
      <w:color w:val="auto"/>
      <w:w w:val="100"/>
      <w:sz w:val="23"/>
      <w:u w:val="none"/>
    </w:rPr>
  </w:style>
  <w:style w:type="character" w:customStyle="1" w:styleId="EntReferChar">
    <w:name w:val="EntRefer Char"/>
    <w:basedOn w:val="DefaultParagraphFont"/>
    <w:link w:val="TBEntRefer"/>
    <w:rsid w:val="00A43C50"/>
    <w:rPr>
      <w:rFonts w:ascii="Arial" w:eastAsia="Times New Roman" w:hAnsi="Arial" w:cs="Arial"/>
      <w:b/>
      <w:kern w:val="0"/>
      <w:sz w:val="23"/>
      <w:szCs w:val="20"/>
      <w:u w:color="606060"/>
      <w:lang w:val="en-GB" w:eastAsia="fr-BE"/>
    </w:rPr>
  </w:style>
  <w:style w:type="paragraph" w:customStyle="1" w:styleId="TBDistrbMarkers">
    <w:name w:val="TBDistrbMarkers"/>
    <w:basedOn w:val="TBEntRefer"/>
    <w:qFormat/>
    <w:rsid w:val="00894139"/>
    <w:pPr>
      <w:tabs>
        <w:tab w:val="left" w:pos="2262"/>
      </w:tabs>
    </w:pPr>
    <w:rPr>
      <w:i/>
      <w:iCs/>
      <w:szCs w:val="23"/>
    </w:rPr>
  </w:style>
  <w:style w:type="paragraph" w:customStyle="1" w:styleId="TBEntACP">
    <w:name w:val="TBEntACP"/>
    <w:basedOn w:val="TechnicalBlockBase"/>
    <w:rsid w:val="00A43C50"/>
    <w:pPr>
      <w:widowControl/>
      <w:spacing w:before="0" w:after="0" w:line="360" w:lineRule="auto"/>
      <w:ind w:left="0" w:right="0"/>
      <w:jc w:val="center"/>
    </w:pPr>
    <w:rPr>
      <w:rFonts w:ascii="Arial" w:hAnsi="Arial"/>
      <w:bCs/>
      <w:i w:val="0"/>
      <w:dstrike w:val="0"/>
      <w:color w:val="auto"/>
      <w:spacing w:val="40"/>
      <w:w w:val="100"/>
      <w:sz w:val="28"/>
      <w:szCs w:val="28"/>
      <w:u w:val="none"/>
    </w:rPr>
  </w:style>
  <w:style w:type="paragraph" w:customStyle="1" w:styleId="TBEntInstitACP">
    <w:name w:val="TBEntInstitACP"/>
    <w:basedOn w:val="TechnicalBlockBase"/>
    <w:rsid w:val="00A43C50"/>
    <w:pPr>
      <w:widowControl/>
      <w:spacing w:before="0" w:after="0" w:line="240" w:lineRule="auto"/>
      <w:ind w:left="0" w:right="0"/>
      <w:jc w:val="center"/>
    </w:pPr>
    <w:rPr>
      <w:rFonts w:ascii="Arial" w:hAnsi="Arial"/>
      <w:bCs/>
      <w:i w:val="0"/>
      <w:dstrike w:val="0"/>
      <w:color w:val="auto"/>
      <w:w w:val="100"/>
      <w:sz w:val="23"/>
      <w:szCs w:val="23"/>
      <w:u w:val="none"/>
    </w:rPr>
  </w:style>
  <w:style w:type="paragraph" w:customStyle="1" w:styleId="TBSousEmbargo">
    <w:name w:val="TBSousEmbargo"/>
    <w:basedOn w:val="TechnicalBlockBase"/>
    <w:qFormat/>
    <w:rsid w:val="00894139"/>
    <w:pPr>
      <w:spacing w:before="360" w:after="360" w:line="240" w:lineRule="auto"/>
      <w:ind w:left="0" w:right="0"/>
      <w:jc w:val="center"/>
    </w:pPr>
    <w:rPr>
      <w:rFonts w:ascii="Arial" w:hAnsi="Arial"/>
      <w:i w:val="0"/>
      <w:dstrike w:val="0"/>
      <w:color w:val="auto"/>
      <w:w w:val="100"/>
      <w:sz w:val="23"/>
      <w:szCs w:val="23"/>
      <w:u w:val="double"/>
    </w:rPr>
  </w:style>
  <w:style w:type="paragraph" w:customStyle="1" w:styleId="TBEntInstit">
    <w:name w:val="TBEntInstit"/>
    <w:basedOn w:val="TechnicalBlockBase"/>
    <w:link w:val="EntInstitChar"/>
    <w:rsid w:val="00894139"/>
    <w:pPr>
      <w:spacing w:before="0" w:after="60" w:line="240" w:lineRule="auto"/>
      <w:ind w:left="0" w:right="0"/>
      <w:jc w:val="right"/>
    </w:pPr>
    <w:rPr>
      <w:rFonts w:ascii="Arial" w:hAnsi="Arial"/>
      <w:i w:val="0"/>
      <w:dstrike w:val="0"/>
      <w:color w:val="auto"/>
      <w:w w:val="100"/>
      <w:sz w:val="23"/>
      <w:u w:val="none"/>
    </w:rPr>
  </w:style>
  <w:style w:type="paragraph" w:customStyle="1" w:styleId="TBEntReferNew">
    <w:name w:val="TBEntReferNew"/>
    <w:basedOn w:val="TechnicalBlockBase"/>
    <w:rsid w:val="00894139"/>
    <w:pPr>
      <w:widowControl/>
      <w:spacing w:before="0" w:after="0" w:line="240" w:lineRule="auto"/>
      <w:ind w:left="0" w:right="0"/>
      <w:jc w:val="center"/>
    </w:pPr>
    <w:rPr>
      <w:rFonts w:ascii="Arial" w:hAnsi="Arial"/>
      <w:bCs/>
      <w:i w:val="0"/>
      <w:dstrike w:val="0"/>
      <w:color w:val="auto"/>
      <w:w w:val="100"/>
      <w:sz w:val="24"/>
      <w:szCs w:val="24"/>
      <w:u w:val="none"/>
      <w:lang w:eastAsia="en-US"/>
    </w:rPr>
  </w:style>
  <w:style w:type="paragraph" w:customStyle="1" w:styleId="TBInstitution">
    <w:name w:val="TBInstitution"/>
    <w:basedOn w:val="TechnicalBlockBase"/>
    <w:rsid w:val="00894139"/>
    <w:pPr>
      <w:spacing w:before="0" w:after="28" w:line="204" w:lineRule="auto"/>
      <w:ind w:left="0" w:right="0"/>
    </w:pPr>
    <w:rPr>
      <w:rFonts w:ascii="Arial" w:hAnsi="Arial"/>
      <w:i w:val="0"/>
      <w:dstrike w:val="0"/>
      <w:color w:val="626262"/>
      <w:spacing w:val="4"/>
      <w:w w:val="100"/>
      <w:sz w:val="24"/>
      <w:szCs w:val="23"/>
      <w:u w:val="none"/>
    </w:rPr>
  </w:style>
  <w:style w:type="paragraph" w:customStyle="1" w:styleId="TBNormalTechnicalBlock">
    <w:name w:val="TBNormalTechnicalBlock"/>
    <w:basedOn w:val="TechnicalBlockBase"/>
    <w:rsid w:val="00894139"/>
    <w:pPr>
      <w:spacing w:before="0" w:after="0" w:line="216" w:lineRule="auto"/>
      <w:ind w:left="0" w:right="0"/>
      <w:contextualSpacing/>
    </w:pPr>
    <w:rPr>
      <w:rFonts w:ascii="Arial" w:hAnsi="Arial"/>
      <w:i w:val="0"/>
      <w:dstrike w:val="0"/>
      <w:color w:val="auto"/>
      <w:w w:val="100"/>
      <w:sz w:val="23"/>
      <w:szCs w:val="23"/>
      <w:u w:val="none"/>
    </w:rPr>
  </w:style>
  <w:style w:type="paragraph" w:customStyle="1" w:styleId="TBInstitutionSubwordmark">
    <w:name w:val="TBInstitutionSubwordmark"/>
    <w:basedOn w:val="TechnicalBlockBase"/>
    <w:rsid w:val="00894139"/>
    <w:pPr>
      <w:spacing w:before="0" w:after="0" w:line="204" w:lineRule="auto"/>
      <w:ind w:left="0" w:right="0"/>
    </w:pPr>
    <w:rPr>
      <w:rFonts w:ascii="Arial" w:hAnsi="Arial"/>
      <w:b w:val="0"/>
      <w:i w:val="0"/>
      <w:dstrike w:val="0"/>
      <w:color w:val="626262"/>
      <w:spacing w:val="4"/>
      <w:w w:val="100"/>
      <w:sz w:val="24"/>
      <w:u w:val="none"/>
    </w:rPr>
  </w:style>
  <w:style w:type="character" w:customStyle="1" w:styleId="EntInstitChar">
    <w:name w:val="EntInstit Char"/>
    <w:basedOn w:val="DefaultParagraphFont"/>
    <w:link w:val="TBEntInstit"/>
    <w:rsid w:val="00894139"/>
    <w:rPr>
      <w:rFonts w:ascii="Arial" w:eastAsia="Times New Roman" w:hAnsi="Arial" w:cs="Arial"/>
      <w:b/>
      <w:kern w:val="0"/>
      <w:sz w:val="23"/>
      <w:szCs w:val="20"/>
      <w:u w:color="606060"/>
      <w:lang w:val="en-GB" w:eastAsia="fr-BE"/>
    </w:rPr>
  </w:style>
  <w:style w:type="paragraph" w:customStyle="1" w:styleId="TBSubjectTable">
    <w:name w:val="TBSubjectTable"/>
    <w:basedOn w:val="TechnicalBlockBase"/>
    <w:rsid w:val="002D3C08"/>
    <w:pPr>
      <w:widowControl/>
      <w:spacing w:before="40" w:after="40" w:line="240" w:lineRule="auto"/>
      <w:ind w:left="0" w:right="0"/>
    </w:pPr>
    <w:rPr>
      <w:rFonts w:ascii="Arial" w:hAnsi="Arial"/>
      <w:b w:val="0"/>
      <w:i w:val="0"/>
      <w:dstrike w:val="0"/>
      <w:color w:val="auto"/>
      <w:w w:val="100"/>
      <w:sz w:val="23"/>
      <w:u w:val="none"/>
    </w:rPr>
  </w:style>
  <w:style w:type="paragraph" w:customStyle="1" w:styleId="TBDocumentGroup">
    <w:name w:val="TBDocumentGroup"/>
    <w:basedOn w:val="TechnicalBlockBase"/>
    <w:rsid w:val="002D3C08"/>
    <w:pPr>
      <w:widowControl/>
      <w:spacing w:before="560" w:after="480" w:line="240" w:lineRule="auto"/>
      <w:ind w:left="0" w:right="0"/>
      <w:jc w:val="center"/>
    </w:pPr>
    <w:rPr>
      <w:rFonts w:ascii="Arial" w:hAnsi="Arial"/>
      <w:i w:val="0"/>
      <w:caps/>
      <w:dstrike w:val="0"/>
      <w:color w:val="auto"/>
      <w:w w:val="100"/>
      <w:sz w:val="23"/>
      <w:u w:val="single"/>
    </w:rPr>
  </w:style>
  <w:style w:type="paragraph" w:customStyle="1" w:styleId="TBHeadingTable">
    <w:name w:val="TBHeadingTable"/>
    <w:basedOn w:val="TechnicalBlockBase"/>
    <w:rsid w:val="002D3C08"/>
    <w:pPr>
      <w:widowControl/>
      <w:spacing w:before="240" w:after="40" w:line="240" w:lineRule="auto"/>
      <w:ind w:left="0" w:right="0"/>
    </w:pPr>
    <w:rPr>
      <w:rFonts w:ascii="Arial" w:hAnsi="Arial"/>
      <w:i w:val="0"/>
      <w:dstrike w:val="0"/>
      <w:color w:val="auto"/>
      <w:w w:val="100"/>
      <w:sz w:val="23"/>
      <w:u w:val="none"/>
    </w:rPr>
  </w:style>
  <w:style w:type="paragraph" w:customStyle="1" w:styleId="TBSubjectBold">
    <w:name w:val="TBSubjectBold"/>
    <w:basedOn w:val="TechnicalBlockBase"/>
    <w:rsid w:val="002D3C08"/>
    <w:pPr>
      <w:widowControl/>
      <w:spacing w:before="160" w:after="0" w:line="360" w:lineRule="auto"/>
      <w:ind w:left="0" w:right="0"/>
      <w:jc w:val="center"/>
    </w:pPr>
    <w:rPr>
      <w:rFonts w:ascii="Arial" w:hAnsi="Arial"/>
      <w:i w:val="0"/>
      <w:dstrike w:val="0"/>
      <w:color w:val="auto"/>
      <w:w w:val="100"/>
      <w:sz w:val="23"/>
      <w:u w:val="none"/>
    </w:rPr>
  </w:style>
  <w:style w:type="paragraph" w:customStyle="1" w:styleId="TBSubjectText">
    <w:name w:val="TBSubjectText"/>
    <w:basedOn w:val="TechnicalBlockBase"/>
    <w:qFormat/>
    <w:rsid w:val="002D3C08"/>
    <w:pPr>
      <w:widowControl/>
      <w:spacing w:before="40" w:after="40" w:line="240" w:lineRule="auto"/>
      <w:ind w:left="0" w:right="0"/>
    </w:pPr>
    <w:rPr>
      <w:rFonts w:ascii="Arial" w:hAnsi="Arial"/>
      <w:b w:val="0"/>
      <w:i w:val="0"/>
      <w:dstrike w:val="0"/>
      <w:color w:val="auto"/>
      <w:w w:val="100"/>
      <w:sz w:val="23"/>
      <w:u w:val="none"/>
    </w:rPr>
  </w:style>
  <w:style w:type="paragraph" w:customStyle="1" w:styleId="EntText">
    <w:name w:val="EntText"/>
    <w:basedOn w:val="Normal"/>
    <w:uiPriority w:val="99"/>
    <w:unhideWhenUsed/>
    <w:pPr>
      <w:spacing w:line="360" w:lineRule="auto"/>
    </w:pPr>
  </w:style>
  <w:style w:type="paragraph" w:customStyle="1" w:styleId="Lignefinal">
    <w:name w:val="Ligne final"/>
    <w:basedOn w:val="Normal"/>
    <w:uiPriority w:val="99"/>
    <w:unhideWhenUsed/>
    <w:pPr>
      <w:pBdr>
        <w:bottom w:val="single" w:sz="4" w:space="0" w:color="000000"/>
      </w:pBdr>
      <w:spacing w:before="360"/>
      <w:ind w:left="3400" w:right="3400"/>
      <w:jc w:val="center"/>
    </w:pPr>
  </w:style>
  <w:style w:type="paragraph" w:customStyle="1" w:styleId="pj">
    <w:name w:val="p.j."/>
    <w:basedOn w:val="Normal"/>
    <w:uiPriority w:val="99"/>
    <w:unhideWhenUsed/>
    <w:pPr>
      <w:spacing w:before="1200"/>
      <w:ind w:left="1440" w:hanging="1440"/>
      <w:jc w:val="left"/>
    </w:pPr>
  </w:style>
  <w:style w:type="paragraph" w:customStyle="1" w:styleId="HeaderCouncil">
    <w:name w:val="Header Council"/>
    <w:basedOn w:val="Normal"/>
    <w:uiPriority w:val="99"/>
    <w:unhideWhenUsed/>
    <w:pPr>
      <w:spacing w:before="0" w:after="0"/>
    </w:pPr>
    <w:rPr>
      <w:sz w:val="2"/>
    </w:rPr>
  </w:style>
  <w:style w:type="paragraph" w:customStyle="1" w:styleId="HeaderCouncilLarge">
    <w:name w:val="Header Council Large"/>
    <w:basedOn w:val="Normal"/>
    <w:uiPriority w:val="99"/>
    <w:unhideWhenUsed/>
    <w:pPr>
      <w:spacing w:before="0" w:after="440"/>
    </w:pPr>
    <w:rPr>
      <w:sz w:val="2"/>
    </w:rPr>
  </w:style>
  <w:style w:type="paragraph" w:customStyle="1" w:styleId="FooterCouncil">
    <w:name w:val="Footer Council"/>
    <w:basedOn w:val="Normal"/>
    <w:uiPriority w:val="99"/>
    <w:unhideWhenUsed/>
    <w:pPr>
      <w:spacing w:before="0" w:after="0"/>
    </w:pPr>
    <w:rPr>
      <w:sz w:val="2"/>
    </w:rPr>
  </w:style>
  <w:style w:type="paragraph" w:customStyle="1" w:styleId="FooterText">
    <w:name w:val="Footer Text"/>
    <w:basedOn w:val="Normal"/>
    <w:uiPriority w:val="99"/>
    <w:unhideWhenUsed/>
    <w:pPr>
      <w:spacing w:before="0" w:after="0"/>
    </w:pPr>
  </w:style>
  <w:style w:type="paragraph" w:customStyle="1" w:styleId="CharCharChar1">
    <w:name w:val="Char Char Char1"/>
    <w:basedOn w:val="Normal"/>
    <w:link w:val="FootnoteReference"/>
    <w:uiPriority w:val="99"/>
    <w:rsid w:val="00A76D84"/>
    <w:pPr>
      <w:spacing w:before="0" w:after="160" w:line="240" w:lineRule="exact"/>
    </w:pPr>
    <w:rPr>
      <w:rFonts w:asciiTheme="minorHAnsi" w:hAnsiTheme="minorHAnsi" w:cstheme="minorBidi"/>
      <w:sz w:val="22"/>
      <w:vertAlign w:val="superscript"/>
      <w:lang w:val="en-US"/>
    </w:rPr>
  </w:style>
  <w:style w:type="paragraph" w:styleId="ListBullet">
    <w:name w:val="List Bullet"/>
    <w:basedOn w:val="Normal"/>
    <w:uiPriority w:val="99"/>
    <w:semiHidden/>
    <w:unhideWhenUsed/>
    <w:rsid w:val="00A00DA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00DA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00DA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00DA8"/>
    <w:pPr>
      <w:numPr>
        <w:numId w:val="5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83352"/>
    <w:rPr>
      <w:rFonts w:ascii="Times New Roman" w:hAnsi="Times New Roman" w:cs="Times New Roman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83352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character" w:styleId="FootnoteReference">
    <w:name w:val="footnote reference"/>
    <w:basedOn w:val="DefaultParagraphFont"/>
    <w:link w:val="CharCharChar1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1833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183352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1833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6"/>
      </w:numPr>
    </w:pPr>
  </w:style>
  <w:style w:type="paragraph" w:customStyle="1" w:styleId="Tiret1">
    <w:name w:val="Tiret 1"/>
    <w:basedOn w:val="Point1"/>
    <w:pPr>
      <w:numPr>
        <w:numId w:val="7"/>
      </w:numPr>
    </w:pPr>
  </w:style>
  <w:style w:type="paragraph" w:customStyle="1" w:styleId="Tiret2">
    <w:name w:val="Tiret 2"/>
    <w:basedOn w:val="Point2"/>
    <w:pPr>
      <w:numPr>
        <w:numId w:val="8"/>
      </w:numPr>
    </w:pPr>
  </w:style>
  <w:style w:type="paragraph" w:customStyle="1" w:styleId="Tiret3">
    <w:name w:val="Tiret 3"/>
    <w:basedOn w:val="Point3"/>
    <w:pPr>
      <w:numPr>
        <w:numId w:val="9"/>
      </w:numPr>
    </w:pPr>
  </w:style>
  <w:style w:type="paragraph" w:customStyle="1" w:styleId="Tiret4">
    <w:name w:val="Tiret 4"/>
    <w:basedOn w:val="Point4"/>
    <w:pPr>
      <w:numPr>
        <w:numId w:val="10"/>
      </w:numPr>
    </w:pPr>
  </w:style>
  <w:style w:type="paragraph" w:customStyle="1" w:styleId="Tiret5">
    <w:name w:val="Tiret 5"/>
    <w:basedOn w:val="Point5"/>
    <w:pPr>
      <w:numPr>
        <w:numId w:val="1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2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2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2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3"/>
      </w:numPr>
    </w:pPr>
  </w:style>
  <w:style w:type="paragraph" w:customStyle="1" w:styleId="Point1number">
    <w:name w:val="Point 1 (number)"/>
    <w:basedOn w:val="Normal"/>
    <w:pPr>
      <w:numPr>
        <w:ilvl w:val="2"/>
        <w:numId w:val="13"/>
      </w:numPr>
    </w:pPr>
  </w:style>
  <w:style w:type="paragraph" w:customStyle="1" w:styleId="Point2number">
    <w:name w:val="Point 2 (number)"/>
    <w:basedOn w:val="Normal"/>
    <w:pPr>
      <w:numPr>
        <w:ilvl w:val="4"/>
        <w:numId w:val="13"/>
      </w:numPr>
    </w:pPr>
  </w:style>
  <w:style w:type="paragraph" w:customStyle="1" w:styleId="Point3number">
    <w:name w:val="Point 3 (number)"/>
    <w:basedOn w:val="Normal"/>
    <w:pPr>
      <w:numPr>
        <w:ilvl w:val="6"/>
        <w:numId w:val="13"/>
      </w:numPr>
    </w:pPr>
  </w:style>
  <w:style w:type="paragraph" w:customStyle="1" w:styleId="Point0letter">
    <w:name w:val="Point 0 (letter)"/>
    <w:basedOn w:val="Normal"/>
    <w:pPr>
      <w:numPr>
        <w:ilvl w:val="1"/>
        <w:numId w:val="13"/>
      </w:numPr>
    </w:pPr>
  </w:style>
  <w:style w:type="paragraph" w:customStyle="1" w:styleId="Point1letter">
    <w:name w:val="Point 1 (letter)"/>
    <w:basedOn w:val="Normal"/>
    <w:pPr>
      <w:numPr>
        <w:ilvl w:val="3"/>
        <w:numId w:val="13"/>
      </w:numPr>
    </w:pPr>
  </w:style>
  <w:style w:type="paragraph" w:customStyle="1" w:styleId="Point2letter">
    <w:name w:val="Point 2 (letter)"/>
    <w:basedOn w:val="Normal"/>
    <w:pPr>
      <w:numPr>
        <w:ilvl w:val="5"/>
        <w:numId w:val="13"/>
      </w:numPr>
    </w:pPr>
  </w:style>
  <w:style w:type="paragraph" w:customStyle="1" w:styleId="Point3letter">
    <w:name w:val="Point 3 (letter)"/>
    <w:basedOn w:val="Normal"/>
    <w:pPr>
      <w:numPr>
        <w:ilvl w:val="7"/>
        <w:numId w:val="13"/>
      </w:numPr>
    </w:pPr>
  </w:style>
  <w:style w:type="paragraph" w:customStyle="1" w:styleId="Point4letter">
    <w:name w:val="Point 4 (letter)"/>
    <w:basedOn w:val="Normal"/>
    <w:pPr>
      <w:numPr>
        <w:ilvl w:val="8"/>
        <w:numId w:val="13"/>
      </w:numPr>
    </w:pPr>
  </w:style>
  <w:style w:type="paragraph" w:customStyle="1" w:styleId="Bullet0">
    <w:name w:val="Bullet 0"/>
    <w:basedOn w:val="Normal"/>
    <w:pPr>
      <w:numPr>
        <w:numId w:val="14"/>
      </w:numPr>
    </w:pPr>
  </w:style>
  <w:style w:type="paragraph" w:customStyle="1" w:styleId="Bullet1">
    <w:name w:val="Bullet 1"/>
    <w:basedOn w:val="Normal"/>
    <w:pPr>
      <w:numPr>
        <w:numId w:val="15"/>
      </w:numPr>
    </w:pPr>
  </w:style>
  <w:style w:type="paragraph" w:customStyle="1" w:styleId="Bullet2">
    <w:name w:val="Bullet 2"/>
    <w:basedOn w:val="Normal"/>
    <w:pPr>
      <w:numPr>
        <w:numId w:val="16"/>
      </w:numPr>
    </w:pPr>
  </w:style>
  <w:style w:type="paragraph" w:customStyle="1" w:styleId="Bullet3">
    <w:name w:val="Bullet 3"/>
    <w:basedOn w:val="Normal"/>
    <w:pPr>
      <w:numPr>
        <w:numId w:val="17"/>
      </w:numPr>
    </w:pPr>
  </w:style>
  <w:style w:type="paragraph" w:customStyle="1" w:styleId="Bullet4">
    <w:name w:val="Bullet 4"/>
    <w:basedOn w:val="Normal"/>
    <w:pPr>
      <w:numPr>
        <w:numId w:val="1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1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83352"/>
    <w:pPr>
      <w:tabs>
        <w:tab w:val="center" w:pos="4535"/>
        <w:tab w:val="right" w:pos="9071"/>
      </w:tabs>
      <w:spacing w:before="0"/>
    </w:pPr>
  </w:style>
  <w:style w:type="paragraph" w:customStyle="1" w:styleId="HeaderLandscape">
    <w:name w:val="HeaderLandscape"/>
    <w:basedOn w:val="Normal"/>
    <w:rsid w:val="00183352"/>
    <w:pPr>
      <w:tabs>
        <w:tab w:val="center" w:pos="7285"/>
        <w:tab w:val="right" w:pos="14003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183352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"/>
    <w:rsid w:val="00183352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emf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image" Target="media/image1.bin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F228AFA198A44976C8F36F479FC26" ma:contentTypeVersion="0" ma:contentTypeDescription="Create a new document." ma:contentTypeScope="" ma:versionID="33bb23dd211d3680c518c76d07c04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C6494-228F-4C19-A452-F88E36526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6A1770-B082-4D41-A9AF-6DA29CCA06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88A00F-5284-473B-9591-4C7A7D698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1</TotalTime>
  <Pages>5</Pages>
  <Words>677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Ana%20PRAVICA</dc:creator>
  <cp:keywords/>
  <dc:description/>
  <cp:lastModifiedBy>Thea Treier</cp:lastModifiedBy>
  <cp:revision>2</cp:revision>
  <dcterms:created xsi:type="dcterms:W3CDTF">2025-07-22T13:31:00Z</dcterms:created>
  <dcterms:modified xsi:type="dcterms:W3CDTF">2025-07-22T13:31:00Z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60b174-6478-47f9-866e-33f097bb6603_Enabled">
    <vt:lpwstr>true</vt:lpwstr>
  </property>
  <property fmtid="{D5CDD505-2E9C-101B-9397-08002B2CF9AE}" pid="3" name="MSIP_Label_af60b174-6478-47f9-866e-33f097bb6603_SetDate">
    <vt:lpwstr>2025-07-18T16:44:19Z</vt:lpwstr>
  </property>
  <property fmtid="{D5CDD505-2E9C-101B-9397-08002B2CF9AE}" pid="4" name="MSIP_Label_af60b174-6478-47f9-866e-33f097bb6603_Method">
    <vt:lpwstr>Privileged</vt:lpwstr>
  </property>
  <property fmtid="{D5CDD505-2E9C-101B-9397-08002B2CF9AE}" pid="5" name="MSIP_Label_af60b174-6478-47f9-866e-33f097bb6603_Name">
    <vt:lpwstr>GSCEU - PUBLIC Label</vt:lpwstr>
  </property>
  <property fmtid="{D5CDD505-2E9C-101B-9397-08002B2CF9AE}" pid="6" name="MSIP_Label_af60b174-6478-47f9-866e-33f097bb6603_SiteId">
    <vt:lpwstr>03ad1c97-0a4d-4e82-8f93-27291a6a0767</vt:lpwstr>
  </property>
  <property fmtid="{D5CDD505-2E9C-101B-9397-08002B2CF9AE}" pid="7" name="MSIP_Label_af60b174-6478-47f9-866e-33f097bb6603_ActionId">
    <vt:lpwstr>084F11E1-6C8D-4405-B782-C0714F842605</vt:lpwstr>
  </property>
  <property fmtid="{D5CDD505-2E9C-101B-9397-08002B2CF9AE}" pid="8" name="MSIP_Label_af60b174-6478-47f9-866e-33f097bb6603_ContentBits">
    <vt:lpwstr>0</vt:lpwstr>
  </property>
  <property fmtid="{D5CDD505-2E9C-101B-9397-08002B2CF9AE}" pid="9" name="Last edited using">
    <vt:lpwstr>DocuWrite Toolbox 1.27.0 (CoverpageUpdate)</vt:lpwstr>
  </property>
  <property fmtid="{D5CDD505-2E9C-101B-9397-08002B2CF9AE}" pid="10" name="ContentTypeId">
    <vt:lpwstr>0x010100412F228AFA198A44976C8F36F479FC26</vt:lpwstr>
  </property>
</Properties>
</file>